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4E3" w:rsidRDefault="00D434E3" w:rsidP="00D434E3">
      <w:pPr>
        <w:spacing w:after="0"/>
        <w:jc w:val="center"/>
        <w:rPr>
          <w:rFonts w:cs="Times New Roman"/>
          <w:sz w:val="24"/>
          <w:szCs w:val="24"/>
        </w:rPr>
      </w:pPr>
      <w:r w:rsidRPr="00D434E3">
        <w:rPr>
          <w:noProof/>
          <w:sz w:val="56"/>
          <w:szCs w:val="56"/>
        </w:rPr>
        <mc:AlternateContent>
          <mc:Choice Requires="wps">
            <w:drawing>
              <wp:anchor distT="0" distB="0" distL="114300" distR="114300" simplePos="0" relativeHeight="251659264" behindDoc="0" locked="0" layoutInCell="1" allowOverlap="1" wp14:anchorId="1076D42E" wp14:editId="39B6A913">
                <wp:simplePos x="0" y="0"/>
                <wp:positionH relativeFrom="column">
                  <wp:posOffset>10758</wp:posOffset>
                </wp:positionH>
                <wp:positionV relativeFrom="paragraph">
                  <wp:posOffset>-53788</wp:posOffset>
                </wp:positionV>
                <wp:extent cx="6287844" cy="0"/>
                <wp:effectExtent l="57150" t="38100" r="55880" b="95250"/>
                <wp:wrapNone/>
                <wp:docPr id="1" name="Straight Connector 1"/>
                <wp:cNvGraphicFramePr/>
                <a:graphic xmlns:a="http://schemas.openxmlformats.org/drawingml/2006/main">
                  <a:graphicData uri="http://schemas.microsoft.com/office/word/2010/wordprocessingShape">
                    <wps:wsp>
                      <wps:cNvCnPr/>
                      <wps:spPr>
                        <a:xfrm>
                          <a:off x="0" y="0"/>
                          <a:ext cx="628784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34F0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4.25pt" to="495.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a7twEAALcDAAAOAAAAZHJzL2Uyb0RvYy54bWysU8FuEzEQvSPxD5bvZJNQlWiVTQ+pygVB&#10;ROEDXO84a9X2WGOTTf6esZNsEaAeEBevx35vZt7z7Pru6J04ACWLoZOL2VwKCBp7G/ad/P7t4d1K&#10;ipRV6JXDAJ08QZJ3m7dv1mNsYYkDuh5IcJKQ2jF2csg5tk2T9ABepRlGCHxpkLzKHNK+6UmNnN27&#10;Zjmf3zYjUh8JNaTEp/fnS7mp+Y0Bnb8YkyAL10nuLdeV6vpU1mazVu2eVBysvrSh/qELr2zgolOq&#10;e5WV+EH2j1TeasKEJs80+gaNsRqqBlazmP+m5nFQEaoWNifFyab0/9Lqz4cdCdvz20kRlOcnesyk&#10;7H7IYoshsIFIYlF8GmNqGb4NO7pEKe6oiD4a8uXLcsSxenuavIVjFpoPb5erD6ubGyn09a55IUZK&#10;+SOgF2XTSWdDka1adfiUMhdj6BXCQWnkXLru8slBAbvwFQxL4WLvK7sOEWwdiYPi5++fqwzOVZGF&#10;YqxzE2n+OumCLTSogzURl68TJ3StiCFPRG8D0t/I+Xht1ZzxV9VnrUX2E/an+hDVDp6O6tJlksv4&#10;/RpX+sv/tvkJAAD//wMAUEsDBBQABgAIAAAAIQCHq9292wAAAAcBAAAPAAAAZHJzL2Rvd25yZXYu&#10;eG1sTI5LT4NAFIX3Jv6HyTVx1w40ikAZGmOibi01Md1N4fJQ5g5hhhb7672mC12eR875ss1senHE&#10;0XWWFITLAARSaauOGgXvu+dFDMJ5TZXuLaGCb3Swya+vMp1W9kRbPBa+ETxCLtUKWu+HVEpXtmi0&#10;W9oBibPajkZ7lmMjq1GfeNz0chUEkTS6I35o9YBPLZZfxWQURHH0EdZ3xeocTi/12z7evW4/z0rd&#10;3syPaxAeZ/9Xhl98RoecmQ52osqJnvUDFxUs4nsQHCdJmIA4XAyZZ/I/f/4DAAD//wMAUEsBAi0A&#10;FAAGAAgAAAAhALaDOJL+AAAA4QEAABMAAAAAAAAAAAAAAAAAAAAAAFtDb250ZW50X1R5cGVzXS54&#10;bWxQSwECLQAUAAYACAAAACEAOP0h/9YAAACUAQAACwAAAAAAAAAAAAAAAAAvAQAAX3JlbHMvLnJl&#10;bHNQSwECLQAUAAYACAAAACEAThpGu7cBAAC3AwAADgAAAAAAAAAAAAAAAAAuAgAAZHJzL2Uyb0Rv&#10;Yy54bWxQSwECLQAUAAYACAAAACEAh6vdvdsAAAAHAQAADwAAAAAAAAAAAAAAAAARBAAAZHJzL2Rv&#10;d25yZXYueG1sUEsFBgAAAAAEAAQA8wAAABkFAAAAAA==&#10;" strokecolor="black [3200]" strokeweight="3pt">
                <v:shadow on="t" color="black" opacity="22937f" origin=",.5" offset="0,.63889mm"/>
              </v:line>
            </w:pict>
          </mc:Fallback>
        </mc:AlternateContent>
      </w:r>
      <w:r w:rsidR="007B3C0B">
        <w:rPr>
          <w:rFonts w:eastAsia="Calibri" w:cs="Times New Roman"/>
          <w:b/>
          <w:smallCaps/>
          <w:sz w:val="56"/>
          <w:szCs w:val="56"/>
        </w:rPr>
        <w:t xml:space="preserve">Name of </w:t>
      </w:r>
      <w:r w:rsidRPr="00D434E3">
        <w:rPr>
          <w:rFonts w:eastAsia="Calibri" w:cs="Times New Roman"/>
          <w:b/>
          <w:smallCaps/>
          <w:sz w:val="56"/>
          <w:szCs w:val="56"/>
        </w:rPr>
        <w:t>Court</w:t>
      </w:r>
      <w:r w:rsidRPr="00D434E3">
        <w:rPr>
          <w:rFonts w:eastAsia="Calibri" w:cs="Times New Roman"/>
          <w:b/>
          <w:smallCaps/>
          <w:sz w:val="56"/>
          <w:szCs w:val="56"/>
        </w:rPr>
        <w:br/>
      </w:r>
      <w:r w:rsidR="007B3C0B">
        <w:rPr>
          <w:rFonts w:cs="Times New Roman"/>
          <w:sz w:val="24"/>
          <w:szCs w:val="24"/>
        </w:rPr>
        <w:t>Address, City, State, and zip code</w:t>
      </w:r>
    </w:p>
    <w:p w:rsidR="00D434E3" w:rsidRDefault="00D434E3" w:rsidP="00D434E3">
      <w:pPr>
        <w:spacing w:after="0"/>
        <w:jc w:val="center"/>
      </w:pPr>
      <w:r>
        <w:rPr>
          <w:noProof/>
        </w:rPr>
        <mc:AlternateContent>
          <mc:Choice Requires="wps">
            <w:drawing>
              <wp:anchor distT="0" distB="0" distL="114300" distR="114300" simplePos="0" relativeHeight="251660288" behindDoc="0" locked="0" layoutInCell="1" allowOverlap="1" wp14:anchorId="0E6AD1FB" wp14:editId="330634E5">
                <wp:simplePos x="0" y="0"/>
                <wp:positionH relativeFrom="column">
                  <wp:posOffset>10160</wp:posOffset>
                </wp:positionH>
                <wp:positionV relativeFrom="paragraph">
                  <wp:posOffset>64135</wp:posOffset>
                </wp:positionV>
                <wp:extent cx="6287770" cy="7620"/>
                <wp:effectExtent l="57150" t="38100" r="55880" b="87630"/>
                <wp:wrapNone/>
                <wp:docPr id="2" name="Straight Connector 2"/>
                <wp:cNvGraphicFramePr/>
                <a:graphic xmlns:a="http://schemas.openxmlformats.org/drawingml/2006/main">
                  <a:graphicData uri="http://schemas.microsoft.com/office/word/2010/wordprocessingShape">
                    <wps:wsp>
                      <wps:cNvCnPr/>
                      <wps:spPr>
                        <a:xfrm flipV="1">
                          <a:off x="0" y="0"/>
                          <a:ext cx="628777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7813276" id="Straight Connector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5.05pt" to="495.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APwwEAAMQDAAAOAAAAZHJzL2Uyb0RvYy54bWysU02P0zAQvSPxHyzfadIgtauo6R66gguC&#10;ioW9e51xY+EvjU2T/nvGThsQoD0gLlbGnvdm3pvJ7n6yhp0Bo/au4+tVzRk46XvtTh3/+uXdmzvO&#10;YhKuF8Y76PgFIr/fv361G0MLjR+86QEZkbjYjqHjQ0qhraooB7AirnwAR4/KoxWJQjxVPYqR2K2p&#10;mrreVKPHPqCXECPdPsyPfF/4lQKZPikVITHTceotlRPL+ZzPar8T7QlFGLS8tiH+oQsrtKOiC9WD&#10;SIJ9R/0HldUSffQqraS3lVdKSygaSM26/k3N4yACFC1kTgyLTfH/0cqP5yMy3Xe84cwJSyN6TCj0&#10;aUjs4J0jAz2yJvs0hthS+sEd8RrFcMQselJomTI6PNEKFBtIGJuKy5fFZZgSk3S5ae622y0NQ9Lb&#10;dtOUIVQzS2YLGNN78Jblj44b7bIHohXnDzFRZUq9pVCQu5r7KF/pYiAnG/cZFOmiem8LumwUHAyy&#10;s6Bd6L+tsybiKpkZorQxC6h+GXTNzTAoW7YAm5eBS3ap6F1agFY7j38Dp+nWqprzb6pnrVn2s+8v&#10;ZSrFDlqVouy61nkXf40L/OfPt/8BAAD//wMAUEsDBBQABgAIAAAAIQB2baqw3AAAAAcBAAAPAAAA&#10;ZHJzL2Rvd25yZXYueG1sTI/NTsMwEITvSLyDtZW4UTstikiIU0UFJE78FB7AjbeJ1XgdxW4b3p7l&#10;BKfV7Ixmv602sx/EGafoAmnIlgoEUhuso07D1+fz7T2ImAxZMwRCDd8YYVNfX1WmtOFCH3jepU5w&#10;CcXSaOhTGkspY9ujN3EZRiT2DmHyJrGcOmknc+FyP8iVUrn0xhFf6M2I2x7b4+7kNWybYqVenoq3&#10;9aMLrr3LVfP6ftT6ZjE3DyASzukvDL/4jA41M+3DiWwUA+ucgzxUBoLtosj4kz0vsjXIupL/+esf&#10;AAAA//8DAFBLAQItABQABgAIAAAAIQC2gziS/gAAAOEBAAATAAAAAAAAAAAAAAAAAAAAAABbQ29u&#10;dGVudF9UeXBlc10ueG1sUEsBAi0AFAAGAAgAAAAhADj9If/WAAAAlAEAAAsAAAAAAAAAAAAAAAAA&#10;LwEAAF9yZWxzLy5yZWxzUEsBAi0AFAAGAAgAAAAhAMct0A/DAQAAxAMAAA4AAAAAAAAAAAAAAAAA&#10;LgIAAGRycy9lMm9Eb2MueG1sUEsBAi0AFAAGAAgAAAAhAHZtqrDcAAAABwEAAA8AAAAAAAAAAAAA&#10;AAAAHQQAAGRycy9kb3ducmV2LnhtbFBLBQYAAAAABAAEAPMAAAAmBQAAAAA=&#10;" strokecolor="black [3200]" strokeweight="3pt">
                <v:shadow on="t" color="black" opacity="22937f" origin=",.5" offset="0,.63889mm"/>
              </v:line>
            </w:pict>
          </mc:Fallback>
        </mc:AlternateContent>
      </w:r>
    </w:p>
    <w:p w:rsidR="00D434E3" w:rsidRDefault="00D434E3" w:rsidP="00D434E3">
      <w:pPr>
        <w:jc w:val="center"/>
      </w:pPr>
      <w:r w:rsidRPr="00E8088A">
        <w:rPr>
          <w:rFonts w:cs="Times New Roman"/>
          <w:noProof/>
          <w:sz w:val="24"/>
          <w:szCs w:val="24"/>
        </w:rPr>
        <mc:AlternateContent>
          <mc:Choice Requires="wps">
            <w:drawing>
              <wp:anchor distT="0" distB="0" distL="114300" distR="114300" simplePos="0" relativeHeight="251661312" behindDoc="0" locked="0" layoutInCell="1" allowOverlap="1" wp14:anchorId="1027FD33" wp14:editId="6929565B">
                <wp:simplePos x="0" y="0"/>
                <wp:positionH relativeFrom="column">
                  <wp:posOffset>3439160</wp:posOffset>
                </wp:positionH>
                <wp:positionV relativeFrom="paragraph">
                  <wp:posOffset>297815</wp:posOffset>
                </wp:positionV>
                <wp:extent cx="132080" cy="1584960"/>
                <wp:effectExtent l="38100" t="38100" r="77470" b="91440"/>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584960"/>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49C7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70.8pt;margin-top:23.45pt;width:10.4pt;height:1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P1SwIAANgEAAAOAAAAZHJzL2Uyb0RvYy54bWysVNuO0zAQfUfiHyy/0yRtt5eo6Qp2ASEt&#10;sNqFD3B9aUwd29hu0+7XM3bSUC7aB8SLNc7MGZ8zl6yuj41CB+68NLrCxSjHiGtqmNTbCn/98u7V&#10;AiMfiGZEGc0rfOIeX69fvli1tuRjUxvFuEOQRPuytRWuQ7Bllnla84b4kbFcg1MY15AAV7fNmCMt&#10;ZG9UNs7zWdYax6wzlHsPX287J16n/EJwGj4L4XlAqsLALaTTpXMTz2y9IuXWEVtL2tMg/8CiIVLD&#10;o0OqWxII2jv5R6pGUme8EWFETZMZISTlSQOoKfLf1DzWxPKkBYrj7VAm///S0k+He4ckq/AcI00a&#10;aNGD3NYBvXGE7qBu81ii1voSIh/tvYsivb0zdOfBkf3iiRcPMWjTfjQMUpF9MKksR+GaiATB6Jiq&#10;fxqqz48BUfhYTMb5AnpEwVVcLabLWWpPRsoz2jof3nPToGhU2EWiPc/0Cjnc+ZC6wHothH3DSDQK&#10;enogChWT5Ww8iYogax8N1jlvhCodz5oT9lazNB2BSNXZENq5gTK8dNYfJXc18uGkeJflgQsoK8ga&#10;J2ppoPmNcgh4VJjtip6F0hAZIUIqNYDy50F9bITxNOQDsHgeOESnF40OA7CR2ri/gcPxTFV08X3X&#10;e62x5xvDTtB1Z7r1gt8BGLVxTxi1sFoV9t/3xHGM1AcNs7ssptO4i+kyvZqP4eIuPZtLD9EUUlU4&#10;YNSZN6Hb371NAwDDkmhr8xqmTcihLR2rni2sT2p6v+pxPy/vKernD2n9AwAA//8DAFBLAwQUAAYA&#10;CAAAACEAm3SeZN8AAAAKAQAADwAAAGRycy9kb3ducmV2LnhtbEyPQU7DMBBF90jcwRokdtRJSAwJ&#10;cSpUiVWzgMIB3HiaBOJxZLtt4PSYFV2O/tP/b+r1YiZ2QudHSxLSVQIMqbN6pF7Cx/vL3SMwHxRp&#10;NVlCCd/oYd1cX9Wq0vZMb3jahZ7FEvKVkjCEMFec+25Ao/zKzkgxO1hnVIin67l26hzLzcSzJBHc&#10;qJHiwqBm3AzYfe2ORoJN3T1vt69tqQ7bz4X/dGbz0Ep5e7M8PwELuIR/GP70ozo00Wlvj6Q9myQU&#10;eSoiKiEXJbAIFCLLge0lZKUogDc1v3yh+QUAAP//AwBQSwECLQAUAAYACAAAACEAtoM4kv4AAADh&#10;AQAAEwAAAAAAAAAAAAAAAAAAAAAAW0NvbnRlbnRfVHlwZXNdLnhtbFBLAQItABQABgAIAAAAIQA4&#10;/SH/1gAAAJQBAAALAAAAAAAAAAAAAAAAAC8BAABfcmVscy8ucmVsc1BLAQItABQABgAIAAAAIQBJ&#10;SmP1SwIAANgEAAAOAAAAAAAAAAAAAAAAAC4CAABkcnMvZTJvRG9jLnhtbFBLAQItABQABgAIAAAA&#10;IQCbdJ5k3wAAAAoBAAAPAAAAAAAAAAAAAAAAAKUEAABkcnMvZG93bnJldi54bWxQSwUGAAAAAAQA&#10;BADzAAAAsQUAAAAA&#10;" adj="2513" strokecolor="black [3200]" strokeweight="2pt">
                <v:shadow on="t" color="black" opacity="24903f" origin=",.5" offset="0,.55556mm"/>
              </v:shape>
            </w:pict>
          </mc:Fallback>
        </mc:AlternateContent>
      </w:r>
      <w:r w:rsidRPr="00E8088A">
        <w:rPr>
          <w:rFonts w:cs="Times New Roman"/>
          <w:noProof/>
          <w:sz w:val="24"/>
          <w:szCs w:val="24"/>
        </w:rPr>
        <mc:AlternateContent>
          <mc:Choice Requires="wps">
            <w:drawing>
              <wp:anchor distT="0" distB="0" distL="114300" distR="114300" simplePos="0" relativeHeight="251662336" behindDoc="0" locked="0" layoutInCell="1" allowOverlap="1" wp14:anchorId="71E2D02D" wp14:editId="25593680">
                <wp:simplePos x="0" y="0"/>
                <wp:positionH relativeFrom="column">
                  <wp:posOffset>-71120</wp:posOffset>
                </wp:positionH>
                <wp:positionV relativeFrom="paragraph">
                  <wp:posOffset>296545</wp:posOffset>
                </wp:positionV>
                <wp:extent cx="3511550" cy="0"/>
                <wp:effectExtent l="38100" t="38100" r="50800" b="95250"/>
                <wp:wrapNone/>
                <wp:docPr id="3" name="Straight Connector 3"/>
                <wp:cNvGraphicFramePr/>
                <a:graphic xmlns:a="http://schemas.openxmlformats.org/drawingml/2006/main">
                  <a:graphicData uri="http://schemas.microsoft.com/office/word/2010/wordprocessingShape">
                    <wps:wsp>
                      <wps:cNvCnPr/>
                      <wps:spPr>
                        <a:xfrm flipH="1">
                          <a:off x="0" y="0"/>
                          <a:ext cx="3511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B8FC619" id="Straight Connector 3"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5.6pt,23.35pt" to="270.9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afwgEAAMEDAAAOAAAAZHJzL2Uyb0RvYy54bWysU02P0zAQvSPxHyzfaZJWRShquoeugAOC&#10;ioUf4HXsxlrbY41Nk/57xk4bEF8HtBcrtt97M+95srubnGVnhdGA73izqjlTXkJv/KnjX7+8ffWG&#10;s5iE74UFrzp+UZHf7V++2I2hVWsYwPYKGYn42I6h40NKoa2qKAflRFxBUJ4uNaATibZ4qnoUI6k7&#10;W63r+nU1AvYBQaoY6fR+vuT7oq+1kumT1lElZjtOvaWyYlkf81rtd6I9oQiDkdc2xH904YTxVHSR&#10;uhdJsG9ofpNyRiJE0GklwVWgtZGqeCA3Tf2Lm4dBBFW8UDgxLDHF55OVH89HZKbv+IYzLxw90UNC&#10;YU5DYgfwngIEZJuc0xhiS/CDP+J1F8MRs+lJo2PamvCeRqDEQMbYVFK+LCmrKTFJh5tt02y39Bjy&#10;dlfNElkqYEzvFDiWPzpujc8BiFacP8REZQl6g9AmtzQ3Ub7SxaoMtv6z0mSKiq0Lu4yTOlhkZ0GD&#10;0D812RBpFWSmaGPtQqr/TbpiM02VEVuIs/m/VlvQpSL4tBCd8YB/qpqmW6t6xt9cz16z7UfoL+VJ&#10;Shw0J8XZdabzIP68L/Qff97+OwAAAP//AwBQSwMEFAAGAAgAAAAhAPkE3vTfAAAACQEAAA8AAABk&#10;cnMvZG93bnJldi54bWxMj8FuwjAMhu+T9g6RJ+0GaRFjqDRFCIlpnKaVHcYtNKapaJyqSaF7+3na&#10;YTva/vT7+/P16FpxxT40nhSk0wQEUuVNQ7WCj8NusgQRoiajW0+o4AsDrIv7u1xnxt/oHa9lrAWH&#10;UMi0Ahtjl0kZKotOh6nvkPh29r3Tkce+lqbXNw53rZwlyUI63RB/sLrDrcXqUg5Oweu+9xf7sinj&#10;8jjs3g775vNcbpV6fBg3KxARx/gHw48+q0PBTic/kAmiVTBJ0xmjCuaLZxAMPM1T7nL6Xcgil/8b&#10;FN8AAAD//wMAUEsBAi0AFAAGAAgAAAAhALaDOJL+AAAA4QEAABMAAAAAAAAAAAAAAAAAAAAAAFtD&#10;b250ZW50X1R5cGVzXS54bWxQSwECLQAUAAYACAAAACEAOP0h/9YAAACUAQAACwAAAAAAAAAAAAAA&#10;AAAvAQAAX3JlbHMvLnJlbHNQSwECLQAUAAYACAAAACEAhilWn8IBAADBAwAADgAAAAAAAAAAAAAA&#10;AAAuAgAAZHJzL2Uyb0RvYy54bWxQSwECLQAUAAYACAAAACEA+QTe9N8AAAAJAQAADwAAAAAAAAAA&#10;AAAAAAAcBAAAZHJzL2Rvd25yZXYueG1sUEsFBgAAAAAEAAQA8wAAACgFAAAAAA==&#10;" strokecolor="black [3200]" strokeweight="2pt">
                <v:shadow on="t" color="black" opacity="24903f" origin=",.5" offset="0,.55556mm"/>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74"/>
      </w:tblGrid>
      <w:tr w:rsidR="00D434E3" w:rsidRPr="00A079B0" w:rsidTr="00A463FA">
        <w:tc>
          <w:tcPr>
            <w:tcW w:w="5778" w:type="dxa"/>
          </w:tcPr>
          <w:p w:rsidR="00D434E3" w:rsidRPr="00A079B0" w:rsidRDefault="007B3C0B" w:rsidP="00D434E3">
            <w:pPr>
              <w:jc w:val="both"/>
              <w:rPr>
                <w:szCs w:val="28"/>
              </w:rPr>
            </w:pPr>
            <w:r w:rsidRPr="007B3C0B">
              <w:rPr>
                <w:color w:val="FF0000"/>
                <w:szCs w:val="28"/>
              </w:rPr>
              <w:t>Your Name</w:t>
            </w:r>
          </w:p>
        </w:tc>
        <w:tc>
          <w:tcPr>
            <w:tcW w:w="4374" w:type="dxa"/>
          </w:tcPr>
          <w:p w:rsidR="00D434E3" w:rsidRPr="00A079B0" w:rsidRDefault="00D434E3" w:rsidP="00A463FA">
            <w:pPr>
              <w:jc w:val="both"/>
              <w:rPr>
                <w:szCs w:val="28"/>
              </w:rPr>
            </w:pPr>
            <w:r w:rsidRPr="00A079B0">
              <w:rPr>
                <w:szCs w:val="28"/>
              </w:rPr>
              <w:t xml:space="preserve">Jurisdiction: Court of Record, under </w:t>
            </w:r>
          </w:p>
        </w:tc>
      </w:tr>
      <w:tr w:rsidR="00D434E3" w:rsidRPr="00A079B0" w:rsidTr="00A463FA">
        <w:tc>
          <w:tcPr>
            <w:tcW w:w="5778" w:type="dxa"/>
          </w:tcPr>
          <w:p w:rsidR="00D434E3" w:rsidRPr="00A079B0" w:rsidRDefault="00F0630D" w:rsidP="00B33951">
            <w:pPr>
              <w:jc w:val="both"/>
              <w:rPr>
                <w:szCs w:val="28"/>
              </w:rPr>
            </w:pPr>
            <w:r>
              <w:rPr>
                <w:szCs w:val="28"/>
              </w:rPr>
              <w:t xml:space="preserve">          </w:t>
            </w:r>
            <w:r w:rsidR="00210D76">
              <w:rPr>
                <w:szCs w:val="28"/>
              </w:rPr>
              <w:t xml:space="preserve"> </w:t>
            </w:r>
            <w:r w:rsidR="00B33951" w:rsidRPr="00B33951">
              <w:rPr>
                <w:rFonts w:cs="Times New Roman"/>
                <w:szCs w:val="28"/>
              </w:rPr>
              <w:t>Petitioner</w:t>
            </w:r>
          </w:p>
        </w:tc>
        <w:tc>
          <w:tcPr>
            <w:tcW w:w="4374" w:type="dxa"/>
          </w:tcPr>
          <w:p w:rsidR="00D434E3" w:rsidRPr="00A079B0" w:rsidRDefault="00F0630D" w:rsidP="00A463FA">
            <w:pPr>
              <w:rPr>
                <w:szCs w:val="28"/>
              </w:rPr>
            </w:pPr>
            <w:r>
              <w:rPr>
                <w:szCs w:val="28"/>
              </w:rPr>
              <w:t xml:space="preserve">    </w:t>
            </w:r>
            <w:r w:rsidR="00D434E3" w:rsidRPr="00A079B0">
              <w:rPr>
                <w:szCs w:val="28"/>
              </w:rPr>
              <w:t>the rules of Common Law</w:t>
            </w:r>
            <w:r w:rsidR="00D434E3" w:rsidRPr="00A079B0">
              <w:rPr>
                <w:rStyle w:val="FootnoteReference"/>
                <w:szCs w:val="28"/>
              </w:rPr>
              <w:footnoteReference w:id="1"/>
            </w:r>
          </w:p>
        </w:tc>
      </w:tr>
      <w:tr w:rsidR="00D434E3" w:rsidRPr="00A079B0" w:rsidTr="00A463FA">
        <w:tc>
          <w:tcPr>
            <w:tcW w:w="5778" w:type="dxa"/>
          </w:tcPr>
          <w:p w:rsidR="00D434E3" w:rsidRPr="00A079B0" w:rsidRDefault="00D434E3" w:rsidP="00A463FA">
            <w:pPr>
              <w:jc w:val="both"/>
              <w:rPr>
                <w:szCs w:val="28"/>
              </w:rPr>
            </w:pPr>
          </w:p>
        </w:tc>
        <w:tc>
          <w:tcPr>
            <w:tcW w:w="4374" w:type="dxa"/>
          </w:tcPr>
          <w:p w:rsidR="00D434E3" w:rsidRPr="00A079B0" w:rsidRDefault="00C07743" w:rsidP="00015F6A">
            <w:pPr>
              <w:rPr>
                <w:szCs w:val="28"/>
              </w:rPr>
            </w:pPr>
            <w:r w:rsidRPr="00A079B0">
              <w:rPr>
                <w:szCs w:val="28"/>
              </w:rPr>
              <w:t>Case no</w:t>
            </w:r>
            <w:r>
              <w:rPr>
                <w:szCs w:val="28"/>
              </w:rPr>
              <w:t xml:space="preserve">: </w:t>
            </w:r>
            <w:r w:rsidR="00015F6A" w:rsidRPr="00015F6A">
              <w:rPr>
                <w:color w:val="FF0000"/>
                <w:szCs w:val="28"/>
              </w:rPr>
              <w:t>00000000</w:t>
            </w:r>
          </w:p>
        </w:tc>
      </w:tr>
      <w:tr w:rsidR="00D434E3" w:rsidRPr="00A079B0" w:rsidTr="00A463FA">
        <w:tc>
          <w:tcPr>
            <w:tcW w:w="5778" w:type="dxa"/>
          </w:tcPr>
          <w:p w:rsidR="00D434E3" w:rsidRPr="00A079B0" w:rsidRDefault="00D434E3" w:rsidP="00A463FA">
            <w:pPr>
              <w:jc w:val="center"/>
              <w:rPr>
                <w:szCs w:val="28"/>
              </w:rPr>
            </w:pPr>
            <w:r w:rsidRPr="00A079B0">
              <w:rPr>
                <w:szCs w:val="28"/>
              </w:rPr>
              <w:t>- Against -</w:t>
            </w:r>
          </w:p>
        </w:tc>
        <w:tc>
          <w:tcPr>
            <w:tcW w:w="4374" w:type="dxa"/>
          </w:tcPr>
          <w:p w:rsidR="00D434E3" w:rsidRPr="00A079B0" w:rsidRDefault="00C07743" w:rsidP="007B3C0B">
            <w:pPr>
              <w:rPr>
                <w:szCs w:val="28"/>
              </w:rPr>
            </w:pPr>
            <w:r w:rsidRPr="00A079B0">
              <w:rPr>
                <w:szCs w:val="28"/>
              </w:rPr>
              <w:t>Magistrate:</w:t>
            </w:r>
          </w:p>
        </w:tc>
      </w:tr>
      <w:tr w:rsidR="00D434E3" w:rsidRPr="00A079B0" w:rsidTr="00A463FA">
        <w:tc>
          <w:tcPr>
            <w:tcW w:w="5778" w:type="dxa"/>
          </w:tcPr>
          <w:p w:rsidR="00D434E3" w:rsidRPr="00A079B0" w:rsidRDefault="00D434E3" w:rsidP="00A463FA">
            <w:pPr>
              <w:jc w:val="both"/>
              <w:rPr>
                <w:szCs w:val="28"/>
              </w:rPr>
            </w:pPr>
          </w:p>
        </w:tc>
        <w:tc>
          <w:tcPr>
            <w:tcW w:w="4374" w:type="dxa"/>
          </w:tcPr>
          <w:p w:rsidR="00D434E3" w:rsidRPr="00A079B0" w:rsidRDefault="00F0630D" w:rsidP="00A463FA">
            <w:pPr>
              <w:rPr>
                <w:szCs w:val="28"/>
              </w:rPr>
            </w:pPr>
            <w:r>
              <w:rPr>
                <w:szCs w:val="28"/>
              </w:rPr>
              <w:t xml:space="preserve"> </w:t>
            </w:r>
          </w:p>
        </w:tc>
      </w:tr>
      <w:tr w:rsidR="00D434E3" w:rsidRPr="00A079B0" w:rsidTr="00A463FA">
        <w:tc>
          <w:tcPr>
            <w:tcW w:w="5778" w:type="dxa"/>
          </w:tcPr>
          <w:p w:rsidR="00D434E3" w:rsidRPr="00A079B0" w:rsidRDefault="007B3C0B" w:rsidP="00A463FA">
            <w:pPr>
              <w:jc w:val="both"/>
              <w:rPr>
                <w:rFonts w:asciiTheme="minorHAnsi" w:hAnsiTheme="minorHAnsi" w:cstheme="minorHAnsi"/>
                <w:szCs w:val="28"/>
              </w:rPr>
            </w:pPr>
            <w:r w:rsidRPr="007B3C0B">
              <w:rPr>
                <w:color w:val="FF0000"/>
                <w:szCs w:val="28"/>
              </w:rPr>
              <w:t>Your</w:t>
            </w:r>
            <w:r w:rsidR="00B33951" w:rsidRPr="00210D76">
              <w:rPr>
                <w:szCs w:val="28"/>
              </w:rPr>
              <w:t xml:space="preserve"> County District Attorney</w:t>
            </w:r>
          </w:p>
        </w:tc>
        <w:tc>
          <w:tcPr>
            <w:tcW w:w="4374" w:type="dxa"/>
          </w:tcPr>
          <w:p w:rsidR="00D434E3" w:rsidRPr="00D7405A" w:rsidRDefault="00D7405A" w:rsidP="00A463FA">
            <w:pPr>
              <w:jc w:val="center"/>
              <w:rPr>
                <w:b/>
                <w:szCs w:val="28"/>
              </w:rPr>
            </w:pPr>
            <w:r w:rsidRPr="00D7405A">
              <w:rPr>
                <w:b/>
                <w:szCs w:val="28"/>
              </w:rPr>
              <w:t>VERIFIED</w:t>
            </w:r>
            <w:r w:rsidR="0034561D">
              <w:rPr>
                <w:b/>
                <w:szCs w:val="28"/>
              </w:rPr>
              <w:t xml:space="preserve"> </w:t>
            </w:r>
            <w:r w:rsidR="00C07743">
              <w:rPr>
                <w:b/>
                <w:smallCaps/>
                <w:szCs w:val="28"/>
              </w:rPr>
              <w:t>SHOW CAUSE</w:t>
            </w:r>
          </w:p>
        </w:tc>
      </w:tr>
      <w:tr w:rsidR="00D434E3" w:rsidRPr="00A079B0" w:rsidTr="00A463FA">
        <w:tc>
          <w:tcPr>
            <w:tcW w:w="5778" w:type="dxa"/>
          </w:tcPr>
          <w:p w:rsidR="00D434E3" w:rsidRPr="00000B74" w:rsidRDefault="00F0630D" w:rsidP="00B33951">
            <w:pPr>
              <w:rPr>
                <w:szCs w:val="28"/>
              </w:rPr>
            </w:pPr>
            <w:r>
              <w:rPr>
                <w:szCs w:val="28"/>
              </w:rPr>
              <w:t xml:space="preserve">          </w:t>
            </w:r>
            <w:r w:rsidR="00D434E3" w:rsidRPr="00000B74">
              <w:rPr>
                <w:szCs w:val="28"/>
              </w:rPr>
              <w:t xml:space="preserve"> </w:t>
            </w:r>
            <w:r w:rsidR="00B33951">
              <w:rPr>
                <w:szCs w:val="28"/>
              </w:rPr>
              <w:t>R</w:t>
            </w:r>
            <w:r w:rsidR="00B33951" w:rsidRPr="00B33951">
              <w:rPr>
                <w:rFonts w:cs="Times New Roman"/>
                <w:szCs w:val="28"/>
              </w:rPr>
              <w:t>espondent</w:t>
            </w:r>
          </w:p>
        </w:tc>
        <w:tc>
          <w:tcPr>
            <w:tcW w:w="4374" w:type="dxa"/>
          </w:tcPr>
          <w:p w:rsidR="00D434E3" w:rsidRPr="00C07743" w:rsidRDefault="00C07743" w:rsidP="00A463FA">
            <w:pPr>
              <w:jc w:val="center"/>
              <w:rPr>
                <w:b/>
                <w:szCs w:val="28"/>
              </w:rPr>
            </w:pPr>
            <w:r w:rsidRPr="00C07743">
              <w:rPr>
                <w:b/>
                <w:szCs w:val="28"/>
              </w:rPr>
              <w:t>DENIAL OF JURISDICTION</w:t>
            </w:r>
          </w:p>
        </w:tc>
      </w:tr>
    </w:tbl>
    <w:p w:rsidR="00D434E3" w:rsidRPr="00A079B0" w:rsidRDefault="00D434E3" w:rsidP="00D434E3">
      <w:pPr>
        <w:jc w:val="both"/>
        <w:rPr>
          <w:szCs w:val="28"/>
        </w:rPr>
      </w:pPr>
      <w:r w:rsidRPr="00000B74">
        <w:rPr>
          <w:rFonts w:cs="Times New Roman"/>
          <w:noProof/>
          <w:szCs w:val="28"/>
        </w:rPr>
        <mc:AlternateContent>
          <mc:Choice Requires="wps">
            <w:drawing>
              <wp:anchor distT="0" distB="0" distL="114300" distR="114300" simplePos="0" relativeHeight="251663360" behindDoc="0" locked="0" layoutInCell="1" allowOverlap="1" wp14:anchorId="7DEC7207" wp14:editId="72DF6DE7">
                <wp:simplePos x="0" y="0"/>
                <wp:positionH relativeFrom="column">
                  <wp:posOffset>-71120</wp:posOffset>
                </wp:positionH>
                <wp:positionV relativeFrom="paragraph">
                  <wp:posOffset>90805</wp:posOffset>
                </wp:positionV>
                <wp:extent cx="3511550" cy="0"/>
                <wp:effectExtent l="38100" t="38100" r="50800" b="95250"/>
                <wp:wrapNone/>
                <wp:docPr id="4" name="Straight Connector 4"/>
                <wp:cNvGraphicFramePr/>
                <a:graphic xmlns:a="http://schemas.openxmlformats.org/drawingml/2006/main">
                  <a:graphicData uri="http://schemas.microsoft.com/office/word/2010/wordprocessingShape">
                    <wps:wsp>
                      <wps:cNvCnPr/>
                      <wps:spPr>
                        <a:xfrm flipH="1">
                          <a:off x="0" y="0"/>
                          <a:ext cx="3511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B4D48BA" id="Straight Connector 4"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5.6pt,7.15pt" to="270.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cwgEAAMEDAAAOAAAAZHJzL2Uyb0RvYy54bWysU02P0zAQvSPxHyzfaZKyRShquoeugAOC&#10;il1+gNexGwvbY41Nk/57xk4bEB97WHGxYvu9N/OeJ9vbyVl2UhgN+I43q5oz5SX0xh87/vXh3au3&#10;nMUkfC8seNXxs4r8dvfyxXYMrVrDALZXyEjEx3YMHR9SCm1VRTkoJ+IKgvJ0qQGdSLTFY9WjGEnd&#10;2Wpd12+qEbAPCFLFSKd38yXfFX2tlUyftY4qMdtx6i2VFcv6mNdqtxXtEUUYjLy0IZ7RhRPGU9FF&#10;6k4kwb6j+UPKGYkQQaeVBFeB1kaq4oHcNPVvbu4HEVTxQuHEsMQU/5+s/HQ6IDN9x28488LRE90n&#10;FOY4JLYH7ylAQHaTcxpDbAm+9we87GI4YDY9aXRMWxM+0AiUGMgYm0rK5yVlNSUm6fD1pmk2G3oM&#10;eb2rZoksFTCm9wocyx8dt8bnAEQrTh9jorIEvUJok1uamyhf6WxVBlv/RWkyRcXWhV3GSe0tspOg&#10;Qei/NdkQaRVkpmhj7UKqnyZdsJmmyogtxNn8P6st6FIRfFqIznjAv1VN07VVPeOvrmev2fYj9Ofy&#10;JCUOmpPi7DLTeRB/3Rf6zz9v9wMAAP//AwBQSwMEFAAGAAgAAAAhAPOIom7eAAAACQEAAA8AAABk&#10;cnMvZG93bnJldi54bWxMj8FuwjAQRO+V+g/WIvUGTiitUIiDEBJVOVUNPbQ3Ey9xRLyOYgfSv+9W&#10;PZTjzjzNzuTr0bXign1oPClIZwkIpMqbhmoFH4fddAkiRE1Gt55QwTcGWBf3d7nOjL/SO17KWAsO&#10;oZBpBTbGLpMyVBadDjPfIbF38r3Tkc++lqbXVw53rZwnybN0uiH+YHWHW4vVuRycgtd978/2ZVPG&#10;5dewezvsm89TuVXqYTJuViAijvEfht/6XB0K7nT0A5kgWgXTNJ0zysbiEQQDT4uUtxz/BFnk8nZB&#10;8QMAAP//AwBQSwECLQAUAAYACAAAACEAtoM4kv4AAADhAQAAEwAAAAAAAAAAAAAAAAAAAAAAW0Nv&#10;bnRlbnRfVHlwZXNdLnhtbFBLAQItABQABgAIAAAAIQA4/SH/1gAAAJQBAAALAAAAAAAAAAAAAAAA&#10;AC8BAABfcmVscy8ucmVsc1BLAQItABQABgAIAAAAIQClrN/cwgEAAMEDAAAOAAAAAAAAAAAAAAAA&#10;AC4CAABkcnMvZTJvRG9jLnhtbFBLAQItABQABgAIAAAAIQDziKJu3gAAAAkBAAAPAAAAAAAAAAAA&#10;AAAAABwEAABkcnMvZG93bnJldi54bWxQSwUGAAAAAAQABADzAAAAJwUAAAAA&#10;" strokecolor="black [3200]" strokeweight="2pt">
                <v:shadow on="t" color="black" opacity="24903f" origin=",.5" offset="0,.55556mm"/>
              </v:line>
            </w:pict>
          </mc:Fallback>
        </mc:AlternateContent>
      </w:r>
    </w:p>
    <w:p w:rsidR="006F26A5" w:rsidRPr="006F26A5" w:rsidRDefault="004B0764" w:rsidP="006F26A5">
      <w:pPr>
        <w:spacing w:after="0" w:line="240" w:lineRule="auto"/>
        <w:rPr>
          <w:rFonts w:asciiTheme="minorHAnsi" w:hAnsiTheme="minorHAnsi" w:cstheme="minorHAnsi"/>
          <w:szCs w:val="28"/>
        </w:rPr>
      </w:pPr>
      <w:r>
        <w:rPr>
          <w:rFonts w:asciiTheme="minorHAnsi" w:hAnsiTheme="minorHAnsi" w:cstheme="minorHAnsi"/>
          <w:smallCaps/>
          <w:color w:val="FF0000"/>
          <w:szCs w:val="28"/>
        </w:rPr>
        <w:t>Your</w:t>
      </w:r>
      <w:r w:rsidR="006F26A5" w:rsidRPr="007B3C0B">
        <w:rPr>
          <w:rFonts w:asciiTheme="minorHAnsi" w:hAnsiTheme="minorHAnsi" w:cstheme="minorHAnsi"/>
          <w:smallCaps/>
          <w:color w:val="FF0000"/>
          <w:szCs w:val="28"/>
        </w:rPr>
        <w:t xml:space="preserve"> </w:t>
      </w:r>
      <w:r w:rsidR="006F26A5" w:rsidRPr="006F26A5">
        <w:rPr>
          <w:rFonts w:asciiTheme="minorHAnsi" w:hAnsiTheme="minorHAnsi" w:cstheme="minorHAnsi"/>
          <w:smallCaps/>
          <w:szCs w:val="28"/>
        </w:rPr>
        <w:t>State</w:t>
      </w:r>
      <w:r w:rsidR="006F26A5" w:rsidRPr="006F26A5">
        <w:rPr>
          <w:rFonts w:asciiTheme="minorHAnsi" w:hAnsiTheme="minorHAnsi" w:cstheme="minorHAnsi"/>
          <w:smallCaps/>
          <w:szCs w:val="28"/>
        </w:rPr>
        <w:tab/>
      </w:r>
      <w:r w:rsidR="00F0630D">
        <w:rPr>
          <w:rFonts w:asciiTheme="minorHAnsi" w:hAnsiTheme="minorHAnsi" w:cstheme="minorHAnsi"/>
          <w:smallCaps/>
          <w:szCs w:val="28"/>
        </w:rPr>
        <w:t xml:space="preserve"> </w:t>
      </w:r>
      <w:r w:rsidR="003712A3">
        <w:rPr>
          <w:rFonts w:asciiTheme="minorHAnsi" w:hAnsiTheme="minorHAnsi" w:cstheme="minorHAnsi"/>
          <w:smallCaps/>
          <w:szCs w:val="28"/>
        </w:rPr>
        <w:t xml:space="preserve">    </w:t>
      </w:r>
      <w:r>
        <w:rPr>
          <w:rFonts w:asciiTheme="minorHAnsi" w:hAnsiTheme="minorHAnsi" w:cstheme="minorHAnsi"/>
          <w:smallCaps/>
          <w:szCs w:val="28"/>
        </w:rPr>
        <w:t xml:space="preserve"> </w:t>
      </w:r>
      <w:r w:rsidR="006F26A5" w:rsidRPr="006F26A5">
        <w:rPr>
          <w:rFonts w:asciiTheme="minorHAnsi" w:hAnsiTheme="minorHAnsi" w:cstheme="minorHAnsi"/>
          <w:szCs w:val="28"/>
        </w:rPr>
        <w:t>)</w:t>
      </w:r>
    </w:p>
    <w:p w:rsidR="006F26A5" w:rsidRPr="006F26A5" w:rsidRDefault="003712A3" w:rsidP="004B0764">
      <w:pPr>
        <w:spacing w:after="0" w:line="240" w:lineRule="auto"/>
        <w:ind w:left="720" w:firstLine="720"/>
        <w:rPr>
          <w:rFonts w:asciiTheme="minorHAnsi" w:hAnsiTheme="minorHAnsi" w:cstheme="minorHAnsi"/>
          <w:szCs w:val="28"/>
        </w:rPr>
      </w:pPr>
      <w:r>
        <w:rPr>
          <w:rFonts w:asciiTheme="minorHAnsi" w:hAnsiTheme="minorHAnsi" w:cstheme="minorHAnsi"/>
          <w:szCs w:val="28"/>
        </w:rPr>
        <w:t xml:space="preserve">    </w:t>
      </w:r>
      <w:r w:rsidR="00F0630D">
        <w:rPr>
          <w:rFonts w:asciiTheme="minorHAnsi" w:hAnsiTheme="minorHAnsi" w:cstheme="minorHAnsi"/>
          <w:szCs w:val="28"/>
        </w:rPr>
        <w:t xml:space="preserve"> </w:t>
      </w:r>
      <w:r w:rsidR="006F26A5" w:rsidRPr="006F26A5">
        <w:rPr>
          <w:rFonts w:asciiTheme="minorHAnsi" w:hAnsiTheme="minorHAnsi" w:cstheme="minorHAnsi"/>
          <w:szCs w:val="28"/>
        </w:rPr>
        <w:t>)</w:t>
      </w:r>
      <w:r w:rsidR="006F26A5">
        <w:rPr>
          <w:rFonts w:asciiTheme="minorHAnsi" w:hAnsiTheme="minorHAnsi" w:cstheme="minorHAnsi"/>
          <w:szCs w:val="28"/>
        </w:rPr>
        <w:t xml:space="preserve"> </w:t>
      </w:r>
      <w:r w:rsidR="006F26A5" w:rsidRPr="006F26A5">
        <w:rPr>
          <w:rFonts w:asciiTheme="minorHAnsi" w:hAnsiTheme="minorHAnsi" w:cstheme="minorHAnsi"/>
          <w:szCs w:val="28"/>
        </w:rPr>
        <w:t>:</w:t>
      </w:r>
      <w:r>
        <w:rPr>
          <w:rFonts w:asciiTheme="minorHAnsi" w:hAnsiTheme="minorHAnsi" w:cstheme="minorHAnsi"/>
          <w:szCs w:val="28"/>
        </w:rPr>
        <w:t>ss</w:t>
      </w:r>
      <w:r w:rsidR="00303185">
        <w:rPr>
          <w:rStyle w:val="FootnoteReference"/>
          <w:rFonts w:asciiTheme="minorHAnsi" w:hAnsiTheme="minorHAnsi" w:cstheme="minorHAnsi"/>
          <w:szCs w:val="28"/>
        </w:rPr>
        <w:footnoteReference w:id="2"/>
      </w:r>
    </w:p>
    <w:p w:rsidR="006F26A5" w:rsidRPr="006F26A5" w:rsidRDefault="004B0764" w:rsidP="006F26A5">
      <w:pPr>
        <w:spacing w:after="0" w:line="360" w:lineRule="auto"/>
        <w:rPr>
          <w:rFonts w:asciiTheme="minorHAnsi" w:hAnsiTheme="minorHAnsi" w:cstheme="minorHAnsi"/>
          <w:szCs w:val="28"/>
        </w:rPr>
      </w:pPr>
      <w:r>
        <w:rPr>
          <w:rFonts w:asciiTheme="minorHAnsi" w:hAnsiTheme="minorHAnsi" w:cstheme="minorHAnsi"/>
          <w:smallCaps/>
          <w:color w:val="FF0000"/>
          <w:szCs w:val="28"/>
        </w:rPr>
        <w:t>Yout</w:t>
      </w:r>
      <w:r w:rsidR="006F26A5" w:rsidRPr="006F26A5">
        <w:rPr>
          <w:rFonts w:asciiTheme="minorHAnsi" w:hAnsiTheme="minorHAnsi" w:cstheme="minorHAnsi"/>
          <w:smallCaps/>
          <w:szCs w:val="28"/>
        </w:rPr>
        <w:t xml:space="preserve"> County</w:t>
      </w:r>
      <w:r w:rsidR="00F0630D">
        <w:rPr>
          <w:rFonts w:asciiTheme="minorHAnsi" w:hAnsiTheme="minorHAnsi" w:cstheme="minorHAnsi"/>
          <w:smallCaps/>
          <w:szCs w:val="28"/>
        </w:rPr>
        <w:t xml:space="preserve"> </w:t>
      </w:r>
      <w:r>
        <w:rPr>
          <w:rFonts w:asciiTheme="minorHAnsi" w:hAnsiTheme="minorHAnsi" w:cstheme="minorHAnsi"/>
          <w:smallCaps/>
          <w:szCs w:val="28"/>
        </w:rPr>
        <w:t xml:space="preserve"> </w:t>
      </w:r>
      <w:r w:rsidR="006F26A5" w:rsidRPr="006F26A5">
        <w:rPr>
          <w:rFonts w:asciiTheme="minorHAnsi" w:hAnsiTheme="minorHAnsi" w:cstheme="minorHAnsi"/>
          <w:szCs w:val="28"/>
        </w:rPr>
        <w:t>)</w:t>
      </w:r>
    </w:p>
    <w:p w:rsidR="006F26A5" w:rsidRDefault="006F26A5" w:rsidP="00303185">
      <w:pPr>
        <w:spacing w:after="0"/>
        <w:jc w:val="both"/>
        <w:rPr>
          <w:rFonts w:cs="Times New Roman"/>
          <w:szCs w:val="28"/>
        </w:rPr>
      </w:pPr>
    </w:p>
    <w:p w:rsidR="00B878AA" w:rsidRPr="008A5B74" w:rsidRDefault="00B33951" w:rsidP="008A5B74">
      <w:pPr>
        <w:jc w:val="both"/>
        <w:rPr>
          <w:szCs w:val="28"/>
        </w:rPr>
      </w:pPr>
      <w:r w:rsidRPr="008A5B74">
        <w:rPr>
          <w:rFonts w:cs="Times New Roman"/>
          <w:szCs w:val="28"/>
        </w:rPr>
        <w:t xml:space="preserve">I, </w:t>
      </w:r>
      <w:r w:rsidR="007B3C0B" w:rsidRPr="008A5B74">
        <w:rPr>
          <w:rFonts w:cs="Times New Roman"/>
          <w:color w:val="FF0000"/>
          <w:szCs w:val="28"/>
        </w:rPr>
        <w:t>Your Name</w:t>
      </w:r>
      <w:r w:rsidRPr="008A5B74">
        <w:rPr>
          <w:rFonts w:cs="Times New Roman"/>
          <w:szCs w:val="28"/>
        </w:rPr>
        <w:t>, one of the People</w:t>
      </w:r>
      <w:r w:rsidRPr="008A5B74">
        <w:rPr>
          <w:rStyle w:val="FootnoteReference"/>
          <w:rFonts w:cs="Times New Roman"/>
          <w:szCs w:val="28"/>
        </w:rPr>
        <w:footnoteReference w:id="3"/>
      </w:r>
      <w:r w:rsidRPr="008A5B74">
        <w:rPr>
          <w:rFonts w:cs="Times New Roman"/>
          <w:szCs w:val="28"/>
        </w:rPr>
        <w:t xml:space="preserve"> of </w:t>
      </w:r>
      <w:r w:rsidR="008F5589" w:rsidRPr="008A5B74">
        <w:rPr>
          <w:rFonts w:cs="Times New Roman"/>
          <w:color w:val="FF0000"/>
          <w:szCs w:val="28"/>
        </w:rPr>
        <w:t>Your State</w:t>
      </w:r>
      <w:r w:rsidR="00091F6B" w:rsidRPr="008A5B74">
        <w:rPr>
          <w:rFonts w:cs="Times New Roman"/>
          <w:szCs w:val="28"/>
        </w:rPr>
        <w:t>, competent to defend myself in a court of law</w:t>
      </w:r>
      <w:r w:rsidR="00302B30" w:rsidRPr="008A5B74">
        <w:rPr>
          <w:rFonts w:cs="Times New Roman"/>
          <w:szCs w:val="28"/>
        </w:rPr>
        <w:t>,</w:t>
      </w:r>
      <w:r w:rsidRPr="008A5B74">
        <w:rPr>
          <w:rFonts w:cs="Times New Roman"/>
          <w:szCs w:val="28"/>
        </w:rPr>
        <w:t xml:space="preserve"> hereinafter petitioner</w:t>
      </w:r>
      <w:r w:rsidR="00302B30" w:rsidRPr="008A5B74">
        <w:rPr>
          <w:rFonts w:cs="Times New Roman"/>
          <w:szCs w:val="28"/>
        </w:rPr>
        <w:t xml:space="preserve">, </w:t>
      </w:r>
      <w:r w:rsidRPr="008A5B74">
        <w:rPr>
          <w:rFonts w:cs="Times New Roman"/>
          <w:szCs w:val="28"/>
        </w:rPr>
        <w:t>by special appearance</w:t>
      </w:r>
      <w:r w:rsidRPr="008A5B74">
        <w:rPr>
          <w:rStyle w:val="FootnoteReference"/>
          <w:rFonts w:cs="Times New Roman"/>
          <w:szCs w:val="28"/>
        </w:rPr>
        <w:footnoteReference w:id="4"/>
      </w:r>
      <w:r w:rsidRPr="008A5B74">
        <w:rPr>
          <w:rFonts w:cs="Times New Roman"/>
          <w:szCs w:val="28"/>
        </w:rPr>
        <w:t xml:space="preserve"> for the purpose of testing the sufficiency of the jurisdiction of the</w:t>
      </w:r>
      <w:r w:rsidR="007B3C0B" w:rsidRPr="008A5B74">
        <w:rPr>
          <w:rFonts w:cs="Times New Roman"/>
          <w:szCs w:val="28"/>
        </w:rPr>
        <w:t xml:space="preserve"> above said </w:t>
      </w:r>
      <w:r w:rsidRPr="008A5B74">
        <w:rPr>
          <w:rFonts w:cs="Times New Roman"/>
          <w:szCs w:val="28"/>
        </w:rPr>
        <w:t>court</w:t>
      </w:r>
      <w:r w:rsidR="00E20E78" w:rsidRPr="008A5B74">
        <w:rPr>
          <w:rStyle w:val="FootnoteReference"/>
          <w:rFonts w:cs="Times New Roman"/>
          <w:szCs w:val="28"/>
        </w:rPr>
        <w:footnoteReference w:id="5"/>
      </w:r>
      <w:r w:rsidR="00302B30" w:rsidRPr="008A5B74">
        <w:rPr>
          <w:rFonts w:cs="Times New Roman"/>
          <w:szCs w:val="28"/>
        </w:rPr>
        <w:t>;</w:t>
      </w:r>
      <w:r w:rsidRPr="008A5B74">
        <w:rPr>
          <w:rFonts w:cs="Times New Roman"/>
          <w:szCs w:val="28"/>
        </w:rPr>
        <w:t xml:space="preserve"> </w:t>
      </w:r>
      <w:r w:rsidR="00DE2882" w:rsidRPr="008A5B74">
        <w:rPr>
          <w:rFonts w:cs="Times New Roman"/>
          <w:szCs w:val="28"/>
        </w:rPr>
        <w:t xml:space="preserve">Petitioner, </w:t>
      </w:r>
      <w:r w:rsidRPr="008A5B74">
        <w:rPr>
          <w:rFonts w:cs="Times New Roman"/>
          <w:szCs w:val="28"/>
        </w:rPr>
        <w:t>hereby</w:t>
      </w:r>
      <w:r w:rsidR="00385980" w:rsidRPr="008A5B74">
        <w:rPr>
          <w:rFonts w:cs="Times New Roman"/>
          <w:szCs w:val="28"/>
        </w:rPr>
        <w:t xml:space="preserve"> open</w:t>
      </w:r>
      <w:r w:rsidR="008E4192" w:rsidRPr="008A5B74">
        <w:rPr>
          <w:rFonts w:cs="Times New Roman"/>
          <w:szCs w:val="28"/>
        </w:rPr>
        <w:t>’</w:t>
      </w:r>
      <w:r w:rsidR="007B3C0B" w:rsidRPr="008A5B74">
        <w:rPr>
          <w:rFonts w:cs="Times New Roman"/>
          <w:szCs w:val="28"/>
        </w:rPr>
        <w:t>s</w:t>
      </w:r>
      <w:r w:rsidR="00385980" w:rsidRPr="008A5B74">
        <w:rPr>
          <w:rFonts w:cs="Times New Roman"/>
          <w:szCs w:val="28"/>
        </w:rPr>
        <w:t xml:space="preserve"> a court of record to</w:t>
      </w:r>
      <w:r w:rsidRPr="008A5B74">
        <w:rPr>
          <w:rFonts w:cs="Times New Roman"/>
          <w:szCs w:val="28"/>
        </w:rPr>
        <w:t xml:space="preserve"> move </w:t>
      </w:r>
      <w:r w:rsidR="007B3C0B" w:rsidRPr="008A5B74">
        <w:rPr>
          <w:rFonts w:cs="Times New Roman"/>
          <w:szCs w:val="28"/>
        </w:rPr>
        <w:t>the above said court</w:t>
      </w:r>
      <w:r w:rsidRPr="008A5B74">
        <w:rPr>
          <w:rFonts w:cs="Times New Roman"/>
          <w:szCs w:val="28"/>
        </w:rPr>
        <w:t xml:space="preserve"> </w:t>
      </w:r>
      <w:r w:rsidR="00B86D0C" w:rsidRPr="008A5B74">
        <w:rPr>
          <w:rFonts w:cs="Times New Roman"/>
          <w:szCs w:val="28"/>
        </w:rPr>
        <w:t xml:space="preserve">to </w:t>
      </w:r>
      <w:r w:rsidR="008E4192" w:rsidRPr="008A5B74">
        <w:rPr>
          <w:rFonts w:cs="Times New Roman"/>
          <w:szCs w:val="28"/>
        </w:rPr>
        <w:t>a</w:t>
      </w:r>
      <w:r w:rsidR="00B86D0C" w:rsidRPr="008A5B74">
        <w:rPr>
          <w:rFonts w:cs="Times New Roman"/>
          <w:szCs w:val="28"/>
        </w:rPr>
        <w:t xml:space="preserve"> Court</w:t>
      </w:r>
      <w:r w:rsidR="008E4192" w:rsidRPr="008A5B74">
        <w:rPr>
          <w:rFonts w:cs="Times New Roman"/>
          <w:szCs w:val="28"/>
        </w:rPr>
        <w:t xml:space="preserve"> of Record</w:t>
      </w:r>
      <w:r w:rsidR="001C3F9B">
        <w:rPr>
          <w:rStyle w:val="FootnoteReference"/>
          <w:rFonts w:cs="Times New Roman"/>
          <w:szCs w:val="28"/>
        </w:rPr>
        <w:footnoteReference w:id="6"/>
      </w:r>
      <w:r w:rsidR="00F0630D">
        <w:rPr>
          <w:rFonts w:cs="Times New Roman"/>
          <w:szCs w:val="28"/>
        </w:rPr>
        <w:t xml:space="preserve"> </w:t>
      </w:r>
      <w:r w:rsidR="00B86D0C" w:rsidRPr="008A5B74">
        <w:rPr>
          <w:rFonts w:cs="Times New Roman"/>
          <w:szCs w:val="28"/>
        </w:rPr>
        <w:t xml:space="preserve">for cause </w:t>
      </w:r>
      <w:r w:rsidR="00B86D0C" w:rsidRPr="008A5B74">
        <w:rPr>
          <w:szCs w:val="28"/>
        </w:rPr>
        <w:t xml:space="preserve">and </w:t>
      </w:r>
      <w:r w:rsidR="0022707C" w:rsidRPr="008A5B74">
        <w:rPr>
          <w:szCs w:val="28"/>
        </w:rPr>
        <w:t>dismissal for lack of personam jurisdiction</w:t>
      </w:r>
      <w:r w:rsidR="00B86D0C" w:rsidRPr="008A5B74">
        <w:rPr>
          <w:szCs w:val="28"/>
        </w:rPr>
        <w:t xml:space="preserve"> in violation of </w:t>
      </w:r>
      <w:r w:rsidR="0095007B">
        <w:rPr>
          <w:szCs w:val="28"/>
        </w:rPr>
        <w:t>petitioner’s</w:t>
      </w:r>
      <w:r w:rsidR="00B86D0C" w:rsidRPr="008A5B74">
        <w:rPr>
          <w:szCs w:val="28"/>
        </w:rPr>
        <w:t xml:space="preserve"> right of due process</w:t>
      </w:r>
      <w:r w:rsidR="00DA070F" w:rsidRPr="008A5B74">
        <w:rPr>
          <w:szCs w:val="28"/>
        </w:rPr>
        <w:t xml:space="preserve"> in a Court </w:t>
      </w:r>
      <w:r w:rsidR="003B2E03" w:rsidRPr="008A5B74">
        <w:rPr>
          <w:szCs w:val="28"/>
        </w:rPr>
        <w:t xml:space="preserve">not </w:t>
      </w:r>
      <w:r w:rsidR="0049386D" w:rsidRPr="008A5B74">
        <w:rPr>
          <w:szCs w:val="28"/>
        </w:rPr>
        <w:t>o</w:t>
      </w:r>
      <w:r w:rsidR="00DA070F" w:rsidRPr="008A5B74">
        <w:rPr>
          <w:szCs w:val="28"/>
        </w:rPr>
        <w:t>f Record</w:t>
      </w:r>
      <w:r w:rsidR="008E4192" w:rsidRPr="008A5B74">
        <w:rPr>
          <w:szCs w:val="28"/>
        </w:rPr>
        <w:t>.</w:t>
      </w:r>
      <w:r w:rsidR="00B878AA" w:rsidRPr="008A5B74">
        <w:rPr>
          <w:szCs w:val="28"/>
        </w:rPr>
        <w:t xml:space="preserve"> </w:t>
      </w:r>
      <w:r w:rsidR="00B878AA" w:rsidRPr="008A5B74">
        <w:rPr>
          <w:rFonts w:cs="Times New Roman"/>
          <w:szCs w:val="28"/>
        </w:rPr>
        <w:t xml:space="preserve">Under federal Law, which is applicable to all states, the U.S. Supreme Court stated: </w:t>
      </w:r>
      <w:r w:rsidR="00F0630D">
        <w:rPr>
          <w:rFonts w:cs="Times New Roman"/>
          <w:szCs w:val="28"/>
        </w:rPr>
        <w:t>“</w:t>
      </w:r>
      <w:r w:rsidR="00B878AA" w:rsidRPr="008A5B74">
        <w:rPr>
          <w:rFonts w:cs="Times New Roman"/>
          <w:szCs w:val="28"/>
        </w:rPr>
        <w:t xml:space="preserve">If a court is without authority, its judgments and orders are regarded as </w:t>
      </w:r>
      <w:r w:rsidR="00B878AA" w:rsidRPr="008A5B74">
        <w:rPr>
          <w:rFonts w:cs="Times New Roman"/>
          <w:szCs w:val="28"/>
        </w:rPr>
        <w:lastRenderedPageBreak/>
        <w:t>nullities. They are not voidable, but simply void, and form no bar to a recovery sought, even prior to a reversal in opposition to them. They constitute no justification and all persons concerned in executing such judgments or sentences are considered, in law, as trespassers.</w:t>
      </w:r>
      <w:r w:rsidR="00F0630D">
        <w:rPr>
          <w:rFonts w:cs="Times New Roman"/>
          <w:szCs w:val="28"/>
        </w:rPr>
        <w:t>”</w:t>
      </w:r>
      <w:r w:rsidR="00B878AA" w:rsidRPr="008A5B74">
        <w:rPr>
          <w:rStyle w:val="FootnoteReference"/>
          <w:rFonts w:cs="Times New Roman"/>
          <w:szCs w:val="28"/>
        </w:rPr>
        <w:footnoteReference w:id="7"/>
      </w:r>
    </w:p>
    <w:p w:rsidR="00B86D0C" w:rsidRPr="008A5B74" w:rsidRDefault="007B3C0B" w:rsidP="008A5B74">
      <w:pPr>
        <w:jc w:val="both"/>
        <w:rPr>
          <w:szCs w:val="28"/>
        </w:rPr>
      </w:pPr>
      <w:r w:rsidRPr="008A5B74">
        <w:rPr>
          <w:szCs w:val="28"/>
        </w:rPr>
        <w:t>R</w:t>
      </w:r>
      <w:r w:rsidR="00B33951" w:rsidRPr="008A5B74">
        <w:rPr>
          <w:szCs w:val="28"/>
        </w:rPr>
        <w:t>espondent</w:t>
      </w:r>
      <w:r w:rsidR="007A7446" w:rsidRPr="008A5B74">
        <w:rPr>
          <w:szCs w:val="28"/>
        </w:rPr>
        <w:t>s</w:t>
      </w:r>
      <w:r w:rsidR="0022707C" w:rsidRPr="008A5B74">
        <w:rPr>
          <w:szCs w:val="28"/>
        </w:rPr>
        <w:t xml:space="preserve"> </w:t>
      </w:r>
      <w:r w:rsidR="007A7446" w:rsidRPr="008A5B74">
        <w:rPr>
          <w:szCs w:val="28"/>
        </w:rPr>
        <w:t>are</w:t>
      </w:r>
      <w:r w:rsidR="0022707C" w:rsidRPr="008A5B74">
        <w:rPr>
          <w:szCs w:val="28"/>
        </w:rPr>
        <w:t xml:space="preserve"> to</w:t>
      </w:r>
      <w:r w:rsidR="00B33951" w:rsidRPr="008A5B74">
        <w:rPr>
          <w:szCs w:val="28"/>
        </w:rPr>
        <w:t xml:space="preserve"> show</w:t>
      </w:r>
      <w:r w:rsidR="00B836AA" w:rsidRPr="008A5B74">
        <w:rPr>
          <w:szCs w:val="28"/>
        </w:rPr>
        <w:t>-</w:t>
      </w:r>
      <w:r w:rsidR="00B33951" w:rsidRPr="008A5B74">
        <w:rPr>
          <w:szCs w:val="28"/>
        </w:rPr>
        <w:t>cause</w:t>
      </w:r>
      <w:r w:rsidRPr="008A5B74">
        <w:rPr>
          <w:szCs w:val="28"/>
        </w:rPr>
        <w:t xml:space="preserve"> </w:t>
      </w:r>
      <w:r w:rsidR="00F0630D" w:rsidRPr="008A5B74">
        <w:rPr>
          <w:szCs w:val="28"/>
        </w:rPr>
        <w:t>by what ‘</w:t>
      </w:r>
      <w:r w:rsidR="00F0630D" w:rsidRPr="008A5B74">
        <w:rPr>
          <w:szCs w:val="28"/>
          <w:u w:val="single"/>
        </w:rPr>
        <w:t>constitutional</w:t>
      </w:r>
      <w:r w:rsidR="00F0630D" w:rsidRPr="008A5B74">
        <w:rPr>
          <w:szCs w:val="28"/>
        </w:rPr>
        <w:t>’ authority the a</w:t>
      </w:r>
      <w:r w:rsidR="00F0630D">
        <w:rPr>
          <w:szCs w:val="28"/>
        </w:rPr>
        <w:t>bove said</w:t>
      </w:r>
      <w:r w:rsidR="00F0630D" w:rsidRPr="008A5B74">
        <w:rPr>
          <w:szCs w:val="28"/>
        </w:rPr>
        <w:t xml:space="preserve"> court acts</w:t>
      </w:r>
      <w:r w:rsidR="00F0630D">
        <w:rPr>
          <w:szCs w:val="28"/>
        </w:rPr>
        <w:t xml:space="preserve"> and </w:t>
      </w:r>
      <w:r w:rsidRPr="008A5B74">
        <w:rPr>
          <w:szCs w:val="28"/>
        </w:rPr>
        <w:t xml:space="preserve">why </w:t>
      </w:r>
      <w:r w:rsidR="00DE2882" w:rsidRPr="008A5B74">
        <w:rPr>
          <w:szCs w:val="28"/>
        </w:rPr>
        <w:t xml:space="preserve">the attached </w:t>
      </w:r>
      <w:r w:rsidRPr="008A5B74">
        <w:rPr>
          <w:szCs w:val="28"/>
        </w:rPr>
        <w:t xml:space="preserve">violation(s) or charges </w:t>
      </w:r>
      <w:r w:rsidR="00DE2882" w:rsidRPr="008A5B74">
        <w:rPr>
          <w:szCs w:val="28"/>
        </w:rPr>
        <w:t>against the petitioner</w:t>
      </w:r>
      <w:r w:rsidR="0022707C" w:rsidRPr="008A5B74">
        <w:rPr>
          <w:szCs w:val="28"/>
        </w:rPr>
        <w:t xml:space="preserve"> should not be dismissed for lack of personam jurisdiction</w:t>
      </w:r>
      <w:r w:rsidR="00B836AA" w:rsidRPr="008A5B74">
        <w:rPr>
          <w:szCs w:val="28"/>
        </w:rPr>
        <w:t xml:space="preserve">. </w:t>
      </w:r>
    </w:p>
    <w:p w:rsidR="00C63EF2" w:rsidRPr="008A5B74" w:rsidRDefault="00C63EF2" w:rsidP="008A5B74">
      <w:pPr>
        <w:jc w:val="both"/>
        <w:rPr>
          <w:rFonts w:asciiTheme="minorHAnsi" w:hAnsiTheme="minorHAnsi" w:cstheme="minorHAnsi"/>
          <w:szCs w:val="28"/>
        </w:rPr>
      </w:pPr>
      <w:r w:rsidRPr="008A5B74">
        <w:rPr>
          <w:rFonts w:asciiTheme="minorHAnsi" w:hAnsiTheme="minorHAnsi" w:cstheme="minorHAnsi"/>
          <w:szCs w:val="28"/>
        </w:rPr>
        <w:t>In the United States, before any court can have authority to hear a case, the court must have both in-personam and subject matter jurisdiction. Any court not a court of record</w:t>
      </w:r>
      <w:r w:rsidRPr="008A5B74">
        <w:rPr>
          <w:rStyle w:val="FootnoteReference"/>
          <w:rFonts w:asciiTheme="minorHAnsi" w:hAnsiTheme="minorHAnsi" w:cstheme="minorHAnsi"/>
          <w:szCs w:val="28"/>
        </w:rPr>
        <w:footnoteReference w:id="8"/>
      </w:r>
      <w:r w:rsidRPr="008A5B74">
        <w:rPr>
          <w:rFonts w:asciiTheme="minorHAnsi" w:hAnsiTheme="minorHAnsi" w:cstheme="minorHAnsi"/>
          <w:szCs w:val="28"/>
        </w:rPr>
        <w:t xml:space="preserve"> has no authority to proceed without the consent of the persons involved. </w:t>
      </w:r>
      <w:r w:rsidR="0071712E" w:rsidRPr="008A5B74">
        <w:rPr>
          <w:szCs w:val="28"/>
        </w:rPr>
        <w:t xml:space="preserve">A court of record is a superior court a court not of record is an inferior court. </w:t>
      </w:r>
      <w:r w:rsidRPr="008A5B74">
        <w:rPr>
          <w:rFonts w:asciiTheme="minorHAnsi" w:hAnsiTheme="minorHAnsi" w:cstheme="minorHAnsi"/>
          <w:szCs w:val="28"/>
        </w:rPr>
        <w:t>No judge or legislators can alter that which the People ordained, to alter is high treason.</w:t>
      </w:r>
    </w:p>
    <w:p w:rsidR="00B90D39" w:rsidRPr="008A5B74" w:rsidRDefault="00B90D39" w:rsidP="008A5B74">
      <w:pPr>
        <w:pStyle w:val="ListParagraph"/>
        <w:numPr>
          <w:ilvl w:val="0"/>
          <w:numId w:val="3"/>
        </w:numPr>
        <w:autoSpaceDE w:val="0"/>
        <w:autoSpaceDN w:val="0"/>
        <w:adjustRightInd w:val="0"/>
        <w:ind w:right="36" w:hanging="540"/>
        <w:jc w:val="both"/>
        <w:rPr>
          <w:szCs w:val="28"/>
        </w:rPr>
      </w:pPr>
      <w:r w:rsidRPr="008A5B74">
        <w:rPr>
          <w:szCs w:val="28"/>
        </w:rPr>
        <w:t>Respondents, having no agreement with petitioner</w:t>
      </w:r>
      <w:r w:rsidR="003F67CD">
        <w:rPr>
          <w:szCs w:val="28"/>
        </w:rPr>
        <w:t>,</w:t>
      </w:r>
      <w:r w:rsidR="001C3F9B">
        <w:rPr>
          <w:szCs w:val="28"/>
        </w:rPr>
        <w:t xml:space="preserve"> </w:t>
      </w:r>
      <w:r w:rsidRPr="008A5B74">
        <w:rPr>
          <w:szCs w:val="28"/>
        </w:rPr>
        <w:t>conspired</w:t>
      </w:r>
      <w:r w:rsidRPr="008A5B74">
        <w:rPr>
          <w:rStyle w:val="FootnoteReference"/>
          <w:b/>
          <w:szCs w:val="28"/>
        </w:rPr>
        <w:footnoteReference w:id="9"/>
      </w:r>
      <w:r w:rsidRPr="008A5B74">
        <w:rPr>
          <w:szCs w:val="28"/>
        </w:rPr>
        <w:t xml:space="preserve"> under color of law in a </w:t>
      </w:r>
      <w:r w:rsidR="00F0630D">
        <w:rPr>
          <w:szCs w:val="28"/>
        </w:rPr>
        <w:t>“</w:t>
      </w:r>
      <w:r w:rsidRPr="008A5B74">
        <w:rPr>
          <w:szCs w:val="28"/>
        </w:rPr>
        <w:t>nisi prius</w:t>
      </w:r>
      <w:r w:rsidRPr="008A5B74">
        <w:rPr>
          <w:rStyle w:val="FootnoteReference"/>
          <w:szCs w:val="28"/>
        </w:rPr>
        <w:footnoteReference w:id="10"/>
      </w:r>
      <w:r w:rsidRPr="008A5B74">
        <w:rPr>
          <w:szCs w:val="28"/>
        </w:rPr>
        <w:t xml:space="preserve"> de facto</w:t>
      </w:r>
      <w:r w:rsidRPr="008A5B74">
        <w:rPr>
          <w:rStyle w:val="FootnoteReference"/>
          <w:szCs w:val="28"/>
        </w:rPr>
        <w:footnoteReference w:id="11"/>
      </w:r>
      <w:r w:rsidRPr="008A5B74">
        <w:rPr>
          <w:szCs w:val="28"/>
        </w:rPr>
        <w:t xml:space="preserve"> quasi</w:t>
      </w:r>
      <w:r w:rsidRPr="008A5B74">
        <w:rPr>
          <w:rStyle w:val="FootnoteReference"/>
          <w:szCs w:val="28"/>
        </w:rPr>
        <w:footnoteReference w:id="12"/>
      </w:r>
      <w:r w:rsidRPr="008A5B74">
        <w:rPr>
          <w:szCs w:val="28"/>
        </w:rPr>
        <w:t xml:space="preserve"> court not of record proceeding in equity</w:t>
      </w:r>
      <w:r w:rsidR="00F0630D">
        <w:rPr>
          <w:szCs w:val="28"/>
        </w:rPr>
        <w:t>”</w:t>
      </w:r>
      <w:r w:rsidRPr="008A5B74">
        <w:rPr>
          <w:szCs w:val="28"/>
        </w:rPr>
        <w:t xml:space="preserve"> and </w:t>
      </w:r>
      <w:r w:rsidRPr="008A5B74">
        <w:rPr>
          <w:szCs w:val="28"/>
        </w:rPr>
        <w:lastRenderedPageBreak/>
        <w:t>not at law;</w:t>
      </w:r>
      <w:r w:rsidRPr="008A5B74">
        <w:rPr>
          <w:rStyle w:val="FootnoteReference"/>
          <w:szCs w:val="28"/>
        </w:rPr>
        <w:footnoteReference w:id="13"/>
      </w:r>
      <w:r w:rsidRPr="008A5B74">
        <w:rPr>
          <w:szCs w:val="28"/>
        </w:rPr>
        <w:t xml:space="preserve"> depriving</w:t>
      </w:r>
      <w:r w:rsidRPr="008A5B74">
        <w:rPr>
          <w:rStyle w:val="FootnoteReference"/>
          <w:b/>
          <w:szCs w:val="28"/>
        </w:rPr>
        <w:footnoteReference w:id="14"/>
      </w:r>
      <w:r w:rsidRPr="008A5B74">
        <w:rPr>
          <w:szCs w:val="28"/>
        </w:rPr>
        <w:t xml:space="preserve"> petitioner’s unalienable right</w:t>
      </w:r>
      <w:r w:rsidRPr="008A5B74">
        <w:rPr>
          <w:rStyle w:val="FootnoteReference"/>
          <w:szCs w:val="28"/>
        </w:rPr>
        <w:footnoteReference w:id="15"/>
      </w:r>
      <w:r w:rsidRPr="008A5B74">
        <w:rPr>
          <w:szCs w:val="28"/>
        </w:rPr>
        <w:t xml:space="preserve"> of due process, secured by the Bill of Rights, with the intent to proceed unlawfully carrying petitioner away to jurisdictions unknown.</w:t>
      </w:r>
    </w:p>
    <w:p w:rsidR="00D24DD5" w:rsidRPr="008A5B74" w:rsidRDefault="00F0630D" w:rsidP="008A5B74">
      <w:pPr>
        <w:pStyle w:val="ListParagraph"/>
        <w:numPr>
          <w:ilvl w:val="0"/>
          <w:numId w:val="3"/>
        </w:numPr>
        <w:ind w:right="36" w:hanging="540"/>
        <w:jc w:val="both"/>
        <w:rPr>
          <w:rFonts w:asciiTheme="minorHAnsi" w:hAnsiTheme="minorHAnsi" w:cstheme="minorHAnsi"/>
          <w:szCs w:val="28"/>
        </w:rPr>
      </w:pPr>
      <w:r>
        <w:rPr>
          <w:rFonts w:asciiTheme="minorHAnsi" w:hAnsiTheme="minorHAnsi" w:cstheme="minorHAnsi"/>
          <w:szCs w:val="28"/>
        </w:rPr>
        <w:t>“</w:t>
      </w:r>
      <w:r w:rsidR="00DA070F" w:rsidRPr="008A5B74">
        <w:rPr>
          <w:rFonts w:asciiTheme="minorHAnsi" w:hAnsiTheme="minorHAnsi" w:cstheme="minorHAnsi"/>
          <w:szCs w:val="28"/>
        </w:rPr>
        <w:t>Service of an appearance ticket on an accused does not confer personal or subject matter jurisdiction upon a criminal court.</w:t>
      </w:r>
      <w:r>
        <w:rPr>
          <w:rFonts w:asciiTheme="minorHAnsi" w:hAnsiTheme="minorHAnsi" w:cstheme="minorHAnsi"/>
          <w:szCs w:val="28"/>
        </w:rPr>
        <w:t>”</w:t>
      </w:r>
      <w:r w:rsidR="0071712E" w:rsidRPr="008A5B74">
        <w:rPr>
          <w:rStyle w:val="FootnoteReference"/>
          <w:rFonts w:asciiTheme="minorHAnsi" w:hAnsiTheme="minorHAnsi" w:cstheme="minorHAnsi"/>
          <w:szCs w:val="28"/>
        </w:rPr>
        <w:footnoteReference w:id="16"/>
      </w:r>
      <w:r w:rsidR="00DA070F" w:rsidRPr="008A5B74">
        <w:rPr>
          <w:rFonts w:asciiTheme="minorHAnsi" w:hAnsiTheme="minorHAnsi" w:cstheme="minorHAnsi"/>
          <w:szCs w:val="28"/>
        </w:rPr>
        <w:t xml:space="preserve"> </w:t>
      </w:r>
    </w:p>
    <w:p w:rsidR="00D24DD5" w:rsidRPr="008A5B74" w:rsidRDefault="00F0630D" w:rsidP="008A5B74">
      <w:pPr>
        <w:pStyle w:val="ListParagraph"/>
        <w:numPr>
          <w:ilvl w:val="0"/>
          <w:numId w:val="3"/>
        </w:numPr>
        <w:ind w:right="36" w:hanging="540"/>
        <w:jc w:val="both"/>
        <w:rPr>
          <w:szCs w:val="28"/>
        </w:rPr>
      </w:pPr>
      <w:r>
        <w:rPr>
          <w:rFonts w:asciiTheme="minorHAnsi" w:hAnsiTheme="minorHAnsi" w:cstheme="minorHAnsi"/>
          <w:szCs w:val="28"/>
        </w:rPr>
        <w:t>“</w:t>
      </w:r>
      <w:r w:rsidR="00DA070F" w:rsidRPr="008A5B74">
        <w:rPr>
          <w:rFonts w:asciiTheme="minorHAnsi" w:hAnsiTheme="minorHAnsi" w:cstheme="minorHAnsi"/>
          <w:szCs w:val="28"/>
        </w:rPr>
        <w:t>Trial court acts without jurisdiction when it acts without inherent or common law authority.</w:t>
      </w:r>
      <w:r>
        <w:rPr>
          <w:rFonts w:asciiTheme="minorHAnsi" w:hAnsiTheme="minorHAnsi" w:cstheme="minorHAnsi"/>
          <w:szCs w:val="28"/>
        </w:rPr>
        <w:t>”</w:t>
      </w:r>
      <w:r w:rsidR="0071712E" w:rsidRPr="008A5B74">
        <w:rPr>
          <w:rStyle w:val="FootnoteReference"/>
          <w:rFonts w:asciiTheme="minorHAnsi" w:hAnsiTheme="minorHAnsi" w:cstheme="minorHAnsi"/>
          <w:szCs w:val="28"/>
        </w:rPr>
        <w:footnoteReference w:id="17"/>
      </w:r>
      <w:r w:rsidR="00DA070F" w:rsidRPr="008A5B74">
        <w:rPr>
          <w:rFonts w:asciiTheme="minorHAnsi" w:hAnsiTheme="minorHAnsi" w:cstheme="minorHAnsi"/>
          <w:szCs w:val="28"/>
        </w:rPr>
        <w:t xml:space="preserve"> </w:t>
      </w:r>
    </w:p>
    <w:p w:rsidR="00D24DD5" w:rsidRPr="008A5B74" w:rsidRDefault="00F0630D" w:rsidP="008A5B74">
      <w:pPr>
        <w:pStyle w:val="ListParagraph"/>
        <w:numPr>
          <w:ilvl w:val="0"/>
          <w:numId w:val="3"/>
        </w:numPr>
        <w:autoSpaceDE w:val="0"/>
        <w:autoSpaceDN w:val="0"/>
        <w:adjustRightInd w:val="0"/>
        <w:ind w:right="36" w:hanging="540"/>
        <w:jc w:val="both"/>
        <w:rPr>
          <w:szCs w:val="28"/>
        </w:rPr>
      </w:pPr>
      <w:r>
        <w:rPr>
          <w:szCs w:val="28"/>
        </w:rPr>
        <w:t>“</w:t>
      </w:r>
      <w:r w:rsidR="0071712E" w:rsidRPr="008A5B74">
        <w:rPr>
          <w:szCs w:val="28"/>
        </w:rPr>
        <w:t>Inferior courts are those whose jurisdiction is limited and special and whose proceedings are not according to the course of the common law. Criminal courts proceed according to statutory law. Jurisdiction and procedure is defined by statute. Likewise, civil courts and admiralty courts proceed according to statutory law. Any court proceeding according to statutory law is not a court of record (which only proceeds according to common law); it is an inferior court.</w:t>
      </w:r>
      <w:r>
        <w:rPr>
          <w:szCs w:val="28"/>
        </w:rPr>
        <w:t>”</w:t>
      </w:r>
      <w:r w:rsidR="0071712E" w:rsidRPr="008A5B74">
        <w:rPr>
          <w:rStyle w:val="FootnoteReference"/>
          <w:szCs w:val="28"/>
        </w:rPr>
        <w:footnoteReference w:id="18"/>
      </w:r>
      <w:r w:rsidR="0071712E" w:rsidRPr="008A5B74">
        <w:rPr>
          <w:szCs w:val="28"/>
        </w:rPr>
        <w:t xml:space="preserve"> </w:t>
      </w:r>
    </w:p>
    <w:p w:rsidR="00D24DD5" w:rsidRPr="008A5B74" w:rsidRDefault="00D76C2D" w:rsidP="008A5B74">
      <w:pPr>
        <w:pStyle w:val="ListParagraph"/>
        <w:numPr>
          <w:ilvl w:val="0"/>
          <w:numId w:val="3"/>
        </w:numPr>
        <w:autoSpaceDE w:val="0"/>
        <w:autoSpaceDN w:val="0"/>
        <w:adjustRightInd w:val="0"/>
        <w:ind w:right="36" w:hanging="540"/>
        <w:jc w:val="both"/>
        <w:rPr>
          <w:szCs w:val="28"/>
        </w:rPr>
      </w:pPr>
      <w:r w:rsidRPr="008A5B74">
        <w:rPr>
          <w:szCs w:val="28"/>
        </w:rPr>
        <w:t>Respondents</w:t>
      </w:r>
      <w:r w:rsidR="003B2E03" w:rsidRPr="008A5B74">
        <w:rPr>
          <w:szCs w:val="28"/>
        </w:rPr>
        <w:t xml:space="preserve"> not being able to prove a claim and fiduciary authority over </w:t>
      </w:r>
      <w:r w:rsidRPr="008A5B74">
        <w:rPr>
          <w:szCs w:val="28"/>
        </w:rPr>
        <w:t>petitioner</w:t>
      </w:r>
      <w:r w:rsidR="003B2E03" w:rsidRPr="008A5B74">
        <w:rPr>
          <w:szCs w:val="28"/>
        </w:rPr>
        <w:t xml:space="preserve"> necessary for a lawful seizure of body and/or property in a court of record conspired and devise a plan under the color of law to bypass </w:t>
      </w:r>
      <w:r w:rsidRPr="008A5B74">
        <w:rPr>
          <w:szCs w:val="28"/>
        </w:rPr>
        <w:t>petitioner</w:t>
      </w:r>
      <w:r w:rsidR="003B2E03" w:rsidRPr="008A5B74">
        <w:rPr>
          <w:szCs w:val="28"/>
        </w:rPr>
        <w:t xml:space="preserve">’s unalienable right of </w:t>
      </w:r>
      <w:r w:rsidR="00F0630D">
        <w:rPr>
          <w:szCs w:val="28"/>
        </w:rPr>
        <w:t>“</w:t>
      </w:r>
      <w:r w:rsidR="003B2E03" w:rsidRPr="008A5B74">
        <w:rPr>
          <w:szCs w:val="28"/>
        </w:rPr>
        <w:t>due process</w:t>
      </w:r>
      <w:r w:rsidR="00F0630D">
        <w:rPr>
          <w:szCs w:val="28"/>
        </w:rPr>
        <w:t>”</w:t>
      </w:r>
      <w:r w:rsidR="003B2E03" w:rsidRPr="008A5B74">
        <w:rPr>
          <w:szCs w:val="28"/>
        </w:rPr>
        <w:t xml:space="preserve"> in a court not of record in jurisdictions’ unknown.</w:t>
      </w:r>
    </w:p>
    <w:p w:rsidR="008A5B74" w:rsidRPr="008A5B74" w:rsidRDefault="00D76C2D" w:rsidP="008A5B74">
      <w:pPr>
        <w:pStyle w:val="ListParagraph"/>
        <w:numPr>
          <w:ilvl w:val="0"/>
          <w:numId w:val="3"/>
        </w:numPr>
        <w:autoSpaceDE w:val="0"/>
        <w:autoSpaceDN w:val="0"/>
        <w:adjustRightInd w:val="0"/>
        <w:ind w:right="36" w:hanging="540"/>
        <w:jc w:val="both"/>
        <w:rPr>
          <w:szCs w:val="28"/>
        </w:rPr>
      </w:pPr>
      <w:r w:rsidRPr="008A5B74">
        <w:rPr>
          <w:szCs w:val="28"/>
        </w:rPr>
        <w:t>Respondents</w:t>
      </w:r>
      <w:r w:rsidR="003B2E03" w:rsidRPr="008A5B74">
        <w:rPr>
          <w:szCs w:val="28"/>
        </w:rPr>
        <w:t xml:space="preserve"> are fraudulently denying </w:t>
      </w:r>
      <w:r w:rsidRPr="008A5B74">
        <w:rPr>
          <w:szCs w:val="28"/>
        </w:rPr>
        <w:t>petitioner</w:t>
      </w:r>
      <w:r w:rsidR="003B2E03" w:rsidRPr="008A5B74">
        <w:rPr>
          <w:szCs w:val="28"/>
        </w:rPr>
        <w:t>’s unalienable right of due process</w:t>
      </w:r>
      <w:r w:rsidR="003B2E03" w:rsidRPr="008A5B74">
        <w:rPr>
          <w:rStyle w:val="FootnoteReference"/>
          <w:szCs w:val="28"/>
        </w:rPr>
        <w:footnoteReference w:id="19"/>
      </w:r>
      <w:r w:rsidR="003B2E03" w:rsidRPr="008A5B74">
        <w:rPr>
          <w:szCs w:val="28"/>
        </w:rPr>
        <w:t xml:space="preserve"> in a court of record proceeding according to Natural Law protected by Amendments V and VII.</w:t>
      </w:r>
      <w:r w:rsidR="008A5B74" w:rsidRPr="008A5B74">
        <w:rPr>
          <w:szCs w:val="28"/>
        </w:rPr>
        <w:t xml:space="preserve"> </w:t>
      </w:r>
    </w:p>
    <w:p w:rsidR="008A5B74" w:rsidRPr="00C07743" w:rsidRDefault="008A5B74" w:rsidP="008A5B74">
      <w:pPr>
        <w:pStyle w:val="ListParagraph"/>
        <w:numPr>
          <w:ilvl w:val="0"/>
          <w:numId w:val="3"/>
        </w:numPr>
        <w:autoSpaceDE w:val="0"/>
        <w:autoSpaceDN w:val="0"/>
        <w:adjustRightInd w:val="0"/>
        <w:ind w:right="36" w:hanging="540"/>
        <w:jc w:val="both"/>
        <w:rPr>
          <w:szCs w:val="28"/>
        </w:rPr>
      </w:pPr>
      <w:r w:rsidRPr="008A5B74">
        <w:rPr>
          <w:rFonts w:asciiTheme="minorHAnsi" w:hAnsiTheme="minorHAnsi" w:cstheme="minorHAnsi"/>
          <w:szCs w:val="28"/>
        </w:rPr>
        <w:lastRenderedPageBreak/>
        <w:t xml:space="preserve">American courts are vested by the People, </w:t>
      </w:r>
      <w:r w:rsidR="00F0630D">
        <w:rPr>
          <w:rFonts w:asciiTheme="minorHAnsi" w:hAnsiTheme="minorHAnsi" w:cstheme="minorHAnsi"/>
          <w:szCs w:val="28"/>
        </w:rPr>
        <w:t>“</w:t>
      </w:r>
      <w:r w:rsidRPr="008A5B74">
        <w:rPr>
          <w:rFonts w:asciiTheme="minorHAnsi" w:hAnsiTheme="minorHAnsi" w:cstheme="minorHAnsi"/>
          <w:i/>
          <w:szCs w:val="28"/>
        </w:rPr>
        <w:t>the author and source of law</w:t>
      </w:r>
      <w:r w:rsidRPr="008A5B74">
        <w:rPr>
          <w:rFonts w:asciiTheme="minorHAnsi" w:hAnsiTheme="minorHAnsi" w:cstheme="minorHAnsi"/>
          <w:szCs w:val="28"/>
        </w:rPr>
        <w:t>,</w:t>
      </w:r>
      <w:r w:rsidR="00F0630D">
        <w:rPr>
          <w:rFonts w:asciiTheme="minorHAnsi" w:hAnsiTheme="minorHAnsi" w:cstheme="minorHAnsi"/>
          <w:szCs w:val="28"/>
        </w:rPr>
        <w:t>”</w:t>
      </w:r>
      <w:r w:rsidRPr="008A5B74">
        <w:rPr>
          <w:rStyle w:val="FootnoteReference"/>
          <w:rFonts w:asciiTheme="minorHAnsi" w:hAnsiTheme="minorHAnsi" w:cstheme="minorHAnsi"/>
          <w:szCs w:val="28"/>
        </w:rPr>
        <w:footnoteReference w:id="20"/>
      </w:r>
      <w:r w:rsidRPr="008A5B74">
        <w:rPr>
          <w:rFonts w:asciiTheme="minorHAnsi" w:hAnsiTheme="minorHAnsi" w:cstheme="minorHAnsi"/>
          <w:szCs w:val="28"/>
        </w:rPr>
        <w:t xml:space="preserve"> through constitutions</w:t>
      </w:r>
      <w:r w:rsidRPr="008A5B74">
        <w:rPr>
          <w:rStyle w:val="FootnoteReference"/>
          <w:rFonts w:asciiTheme="minorHAnsi" w:hAnsiTheme="minorHAnsi" w:cstheme="minorHAnsi"/>
          <w:szCs w:val="28"/>
        </w:rPr>
        <w:footnoteReference w:id="21"/>
      </w:r>
      <w:r w:rsidRPr="008A5B74">
        <w:rPr>
          <w:rFonts w:asciiTheme="minorHAnsi" w:hAnsiTheme="minorHAnsi" w:cstheme="minorHAnsi"/>
          <w:szCs w:val="28"/>
        </w:rPr>
        <w:t xml:space="preserve"> ordained by the People. Therefore, a court must first have </w:t>
      </w:r>
      <w:r w:rsidR="00F0630D">
        <w:rPr>
          <w:rFonts w:asciiTheme="minorHAnsi" w:hAnsiTheme="minorHAnsi" w:cstheme="minorHAnsi"/>
          <w:szCs w:val="28"/>
        </w:rPr>
        <w:t>“</w:t>
      </w:r>
      <w:r w:rsidRPr="008A5B74">
        <w:rPr>
          <w:rFonts w:asciiTheme="minorHAnsi" w:hAnsiTheme="minorHAnsi" w:cstheme="minorHAnsi"/>
          <w:szCs w:val="28"/>
        </w:rPr>
        <w:t>constitutional authority</w:t>
      </w:r>
      <w:r w:rsidR="00F0630D">
        <w:rPr>
          <w:rFonts w:asciiTheme="minorHAnsi" w:hAnsiTheme="minorHAnsi" w:cstheme="minorHAnsi"/>
          <w:szCs w:val="28"/>
        </w:rPr>
        <w:t>”</w:t>
      </w:r>
      <w:r w:rsidRPr="008A5B74">
        <w:rPr>
          <w:rFonts w:asciiTheme="minorHAnsi" w:hAnsiTheme="minorHAnsi" w:cstheme="minorHAnsi"/>
          <w:szCs w:val="28"/>
        </w:rPr>
        <w:t xml:space="preserve"> over an individual before it can proceed.</w:t>
      </w:r>
    </w:p>
    <w:p w:rsidR="007F0052" w:rsidRPr="007F0052" w:rsidRDefault="007F0052" w:rsidP="007F0052">
      <w:pPr>
        <w:spacing w:after="0" w:line="240" w:lineRule="auto"/>
        <w:ind w:right="36"/>
        <w:jc w:val="center"/>
        <w:rPr>
          <w:rFonts w:cs="Times New Roman"/>
          <w:b/>
          <w:smallCaps/>
          <w:szCs w:val="28"/>
        </w:rPr>
      </w:pPr>
      <w:r w:rsidRPr="007F0052">
        <w:rPr>
          <w:rFonts w:cs="Times New Roman"/>
          <w:b/>
          <w:smallCaps/>
          <w:szCs w:val="28"/>
        </w:rPr>
        <w:t xml:space="preserve">The Common Law permits the </w:t>
      </w:r>
      <w:r w:rsidR="00B90D39">
        <w:rPr>
          <w:rFonts w:cs="Times New Roman"/>
          <w:b/>
          <w:smallCaps/>
          <w:szCs w:val="28"/>
        </w:rPr>
        <w:t>D</w:t>
      </w:r>
      <w:r w:rsidRPr="007F0052">
        <w:rPr>
          <w:rFonts w:cs="Times New Roman"/>
          <w:b/>
          <w:smallCaps/>
          <w:szCs w:val="28"/>
        </w:rPr>
        <w:t>estruction of</w:t>
      </w:r>
    </w:p>
    <w:p w:rsidR="007F0052" w:rsidRPr="007F0052" w:rsidRDefault="007F0052" w:rsidP="007F0052">
      <w:pPr>
        <w:spacing w:line="360" w:lineRule="auto"/>
        <w:ind w:right="36"/>
        <w:jc w:val="center"/>
        <w:rPr>
          <w:rFonts w:asciiTheme="minorHAnsi" w:hAnsiTheme="minorHAnsi" w:cstheme="minorHAnsi"/>
          <w:b/>
          <w:smallCaps/>
          <w:szCs w:val="28"/>
        </w:rPr>
      </w:pPr>
      <w:r w:rsidRPr="007F0052">
        <w:rPr>
          <w:rFonts w:cs="Times New Roman"/>
          <w:b/>
          <w:smallCaps/>
          <w:szCs w:val="28"/>
        </w:rPr>
        <w:t xml:space="preserve">the </w:t>
      </w:r>
      <w:r w:rsidR="00B90D39">
        <w:rPr>
          <w:rFonts w:cs="Times New Roman"/>
          <w:b/>
          <w:smallCaps/>
          <w:szCs w:val="28"/>
        </w:rPr>
        <w:t>A</w:t>
      </w:r>
      <w:r w:rsidRPr="007F0052">
        <w:rPr>
          <w:rFonts w:cs="Times New Roman"/>
          <w:b/>
          <w:smallCaps/>
          <w:szCs w:val="28"/>
        </w:rPr>
        <w:t xml:space="preserve">batement of </w:t>
      </w:r>
      <w:r w:rsidR="00B90D39">
        <w:rPr>
          <w:rFonts w:cs="Times New Roman"/>
          <w:b/>
          <w:smallCaps/>
          <w:szCs w:val="28"/>
        </w:rPr>
        <w:t>N</w:t>
      </w:r>
      <w:r w:rsidRPr="007F0052">
        <w:rPr>
          <w:rFonts w:cs="Times New Roman"/>
          <w:b/>
          <w:smallCaps/>
          <w:szCs w:val="28"/>
        </w:rPr>
        <w:t xml:space="preserve">uisances by </w:t>
      </w:r>
      <w:r w:rsidR="00B90D39">
        <w:rPr>
          <w:rFonts w:cs="Times New Roman"/>
          <w:b/>
          <w:smallCaps/>
          <w:szCs w:val="28"/>
        </w:rPr>
        <w:t>S</w:t>
      </w:r>
      <w:r w:rsidRPr="007F0052">
        <w:rPr>
          <w:rFonts w:cs="Times New Roman"/>
          <w:b/>
          <w:smallCaps/>
          <w:szCs w:val="28"/>
        </w:rPr>
        <w:t xml:space="preserve">ummary </w:t>
      </w:r>
      <w:r w:rsidR="00B90D39">
        <w:rPr>
          <w:rFonts w:cs="Times New Roman"/>
          <w:b/>
          <w:smallCaps/>
          <w:szCs w:val="28"/>
        </w:rPr>
        <w:t>P</w:t>
      </w:r>
      <w:r w:rsidRPr="007F0052">
        <w:rPr>
          <w:rFonts w:cs="Times New Roman"/>
          <w:b/>
          <w:smallCaps/>
          <w:szCs w:val="28"/>
        </w:rPr>
        <w:t>roceedings</w:t>
      </w:r>
    </w:p>
    <w:p w:rsidR="00B16058" w:rsidRDefault="00B16058" w:rsidP="008A5B74">
      <w:pPr>
        <w:ind w:right="36"/>
        <w:jc w:val="both"/>
        <w:rPr>
          <w:rFonts w:cs="Times New Roman"/>
          <w:szCs w:val="28"/>
        </w:rPr>
      </w:pPr>
      <w:r w:rsidRPr="002D7676">
        <w:rPr>
          <w:rFonts w:cs="Times New Roman"/>
          <w:b/>
          <w:szCs w:val="28"/>
          <w:u w:val="single"/>
        </w:rPr>
        <w:t xml:space="preserve">16 </w:t>
      </w:r>
      <w:r w:rsidRPr="002D7676">
        <w:rPr>
          <w:rFonts w:cs="Times New Roman"/>
          <w:b/>
          <w:smallCaps/>
          <w:szCs w:val="28"/>
          <w:u w:val="single"/>
        </w:rPr>
        <w:t>American Jurisprudence 2</w:t>
      </w:r>
      <w:r w:rsidRPr="002D7676">
        <w:rPr>
          <w:rFonts w:cs="Times New Roman"/>
          <w:b/>
          <w:smallCaps/>
          <w:szCs w:val="28"/>
          <w:u w:val="single"/>
          <w:vertAlign w:val="superscript"/>
        </w:rPr>
        <w:t>nd</w:t>
      </w:r>
      <w:r w:rsidRPr="002D7676">
        <w:rPr>
          <w:rFonts w:cs="Times New Roman"/>
          <w:b/>
          <w:smallCaps/>
          <w:szCs w:val="28"/>
          <w:u w:val="single"/>
        </w:rPr>
        <w:t>, Section</w:t>
      </w:r>
      <w:r w:rsidRPr="002D7676">
        <w:rPr>
          <w:rFonts w:cs="Times New Roman"/>
          <w:b/>
          <w:szCs w:val="28"/>
          <w:u w:val="single"/>
        </w:rPr>
        <w:t xml:space="preserve"> 114</w:t>
      </w:r>
      <w:r w:rsidRPr="00B216B9">
        <w:rPr>
          <w:rFonts w:cs="Times New Roman"/>
          <w:szCs w:val="28"/>
        </w:rPr>
        <w:t>:</w:t>
      </w:r>
      <w:r>
        <w:rPr>
          <w:rFonts w:cs="Times New Roman"/>
          <w:szCs w:val="28"/>
        </w:rPr>
        <w:t xml:space="preserve"> </w:t>
      </w:r>
      <w:r w:rsidR="00F0630D">
        <w:rPr>
          <w:rFonts w:cs="Times New Roman"/>
          <w:szCs w:val="28"/>
        </w:rPr>
        <w:t>“</w:t>
      </w:r>
      <w:r w:rsidR="00B851E2" w:rsidRPr="008E4192">
        <w:rPr>
          <w:rFonts w:cs="Times New Roman"/>
          <w:i/>
          <w:szCs w:val="28"/>
        </w:rPr>
        <w:t xml:space="preserve">As to the construction, with reference to Common Law, an important cannon of construction is that constitutions must be construed to reference to the Common Law. </w:t>
      </w:r>
      <w:r w:rsidR="00B851E2" w:rsidRPr="008E4192">
        <w:rPr>
          <w:rFonts w:cs="Times New Roman"/>
          <w:i/>
          <w:szCs w:val="28"/>
          <w:u w:val="single"/>
        </w:rPr>
        <w:t>The Common Law, so permitted destruction of the abatement of nuisances by summary proceedings</w:t>
      </w:r>
      <w:r w:rsidR="00B851E2" w:rsidRPr="008E4192">
        <w:rPr>
          <w:rFonts w:cs="Times New Roman"/>
          <w:i/>
          <w:szCs w:val="28"/>
        </w:rPr>
        <w:t xml:space="preserve"> and it was never supposed that a constitutional provision was intended to interfere with this established principle and although there is no common law of the United States in a sense of a national customary law as distinguished from the common law of England, adopted in the several states. In interpreting the Federal Constitution, recourse may still be had to the aid of the Common Law of England. It has been said that without reference to the common law, the language of the Federal Constitution could not be understood</w:t>
      </w:r>
      <w:r w:rsidR="00B851E2" w:rsidRPr="00B216B9">
        <w:rPr>
          <w:rFonts w:cs="Times New Roman"/>
          <w:szCs w:val="28"/>
        </w:rPr>
        <w:t>.</w:t>
      </w:r>
      <w:r w:rsidR="00F0630D">
        <w:rPr>
          <w:rFonts w:cs="Times New Roman"/>
          <w:szCs w:val="28"/>
        </w:rPr>
        <w:t>”</w:t>
      </w:r>
    </w:p>
    <w:p w:rsidR="00116D25" w:rsidRPr="00116D25" w:rsidRDefault="00116D25" w:rsidP="00116D25">
      <w:pPr>
        <w:ind w:right="36"/>
        <w:jc w:val="center"/>
        <w:rPr>
          <w:rFonts w:cs="Times New Roman"/>
          <w:b/>
          <w:szCs w:val="28"/>
        </w:rPr>
      </w:pPr>
      <w:r w:rsidRPr="00116D25">
        <w:rPr>
          <w:b/>
          <w:szCs w:val="28"/>
        </w:rPr>
        <w:t>COURT LACK</w:t>
      </w:r>
      <w:r>
        <w:rPr>
          <w:b/>
          <w:szCs w:val="28"/>
        </w:rPr>
        <w:t>S</w:t>
      </w:r>
      <w:r w:rsidRPr="00116D25">
        <w:rPr>
          <w:b/>
          <w:szCs w:val="28"/>
        </w:rPr>
        <w:t xml:space="preserve"> JURISDICTION</w:t>
      </w:r>
    </w:p>
    <w:p w:rsidR="00191897" w:rsidRDefault="00F0630D" w:rsidP="00D15E9F">
      <w:pPr>
        <w:jc w:val="both"/>
        <w:rPr>
          <w:rFonts w:cs="Times New Roman"/>
          <w:szCs w:val="28"/>
        </w:rPr>
      </w:pPr>
      <w:r>
        <w:rPr>
          <w:rFonts w:cs="Times New Roman"/>
          <w:szCs w:val="28"/>
        </w:rPr>
        <w:t>“</w:t>
      </w:r>
      <w:r w:rsidR="00191897" w:rsidRPr="008A5B74">
        <w:rPr>
          <w:rFonts w:cs="Times New Roman"/>
          <w:szCs w:val="28"/>
        </w:rPr>
        <w:t>No sanction can be imposed absent proof of jurisdiction.</w:t>
      </w:r>
      <w:r>
        <w:rPr>
          <w:rFonts w:cs="Times New Roman"/>
          <w:szCs w:val="28"/>
        </w:rPr>
        <w:t>”</w:t>
      </w:r>
      <w:r w:rsidR="00191897" w:rsidRPr="008A5B74">
        <w:rPr>
          <w:rStyle w:val="FootnoteReference"/>
          <w:rFonts w:cs="Times New Roman"/>
          <w:szCs w:val="28"/>
        </w:rPr>
        <w:footnoteReference w:id="22"/>
      </w:r>
      <w:r w:rsidR="00191897" w:rsidRPr="008A5B74">
        <w:rPr>
          <w:rFonts w:cs="Times New Roman"/>
          <w:szCs w:val="28"/>
        </w:rPr>
        <w:t xml:space="preserve"> </w:t>
      </w:r>
      <w:r>
        <w:rPr>
          <w:rFonts w:cs="Times New Roman"/>
          <w:szCs w:val="28"/>
        </w:rPr>
        <w:t>“</w:t>
      </w:r>
      <w:r w:rsidR="00191897" w:rsidRPr="008A5B74">
        <w:rPr>
          <w:rFonts w:cs="Times New Roman"/>
          <w:szCs w:val="28"/>
        </w:rPr>
        <w:t>No judicial process, whatever form it may assume, can have any lawful authority outside of the limits of the jurisdiction of the court or judge by whom it is issued; and an attempt to enforce it beyond these boundaries is nothing less than lawless violence.</w:t>
      </w:r>
      <w:r>
        <w:rPr>
          <w:rFonts w:cs="Times New Roman"/>
          <w:szCs w:val="28"/>
        </w:rPr>
        <w:t>”</w:t>
      </w:r>
      <w:r w:rsidR="00191897" w:rsidRPr="008A5B74">
        <w:rPr>
          <w:rStyle w:val="FootnoteReference"/>
          <w:rFonts w:cs="Times New Roman"/>
          <w:szCs w:val="28"/>
        </w:rPr>
        <w:footnoteReference w:id="23"/>
      </w:r>
      <w:r w:rsidR="00191897" w:rsidRPr="008A5B74">
        <w:rPr>
          <w:rFonts w:cs="Times New Roman"/>
          <w:szCs w:val="28"/>
        </w:rPr>
        <w:t xml:space="preserve"> </w:t>
      </w:r>
    </w:p>
    <w:p w:rsidR="003F67CD" w:rsidRPr="001C3F9B" w:rsidRDefault="003F67CD" w:rsidP="003F67CD">
      <w:pPr>
        <w:jc w:val="both"/>
        <w:rPr>
          <w:szCs w:val="28"/>
        </w:rPr>
      </w:pPr>
      <w:r w:rsidRPr="008A5B74">
        <w:rPr>
          <w:szCs w:val="28"/>
        </w:rPr>
        <w:t>No court has discretion to ignore its lack of jurisdiction.</w:t>
      </w:r>
      <w:r w:rsidRPr="008A5B74">
        <w:rPr>
          <w:rStyle w:val="FootnoteReference"/>
          <w:szCs w:val="28"/>
        </w:rPr>
        <w:footnoteReference w:id="24"/>
      </w:r>
      <w:r w:rsidRPr="008A5B74">
        <w:rPr>
          <w:szCs w:val="28"/>
        </w:rPr>
        <w:t xml:space="preserve"> </w:t>
      </w:r>
      <w:r w:rsidR="00F0630D">
        <w:rPr>
          <w:szCs w:val="28"/>
        </w:rPr>
        <w:t>“</w:t>
      </w:r>
      <w:r w:rsidRPr="008A5B74">
        <w:rPr>
          <w:szCs w:val="28"/>
        </w:rPr>
        <w:t>The law requires proof of jurisdiction to appear on the record of the administrative agency and all administrative proceedings.</w:t>
      </w:r>
      <w:r w:rsidR="00F0630D">
        <w:rPr>
          <w:szCs w:val="28"/>
        </w:rPr>
        <w:t>”</w:t>
      </w:r>
      <w:r w:rsidRPr="008A5B74">
        <w:rPr>
          <w:rStyle w:val="FootnoteReference"/>
          <w:szCs w:val="28"/>
        </w:rPr>
        <w:footnoteReference w:id="25"/>
      </w:r>
      <w:r>
        <w:rPr>
          <w:szCs w:val="28"/>
        </w:rPr>
        <w:t xml:space="preserve"> </w:t>
      </w:r>
      <w:r w:rsidR="00F0630D">
        <w:rPr>
          <w:szCs w:val="28"/>
        </w:rPr>
        <w:t>“</w:t>
      </w:r>
      <w:r w:rsidRPr="001C3F9B">
        <w:rPr>
          <w:szCs w:val="28"/>
        </w:rPr>
        <w:t>A court cannot confer jurisdiction where none existed and cannot make a void proceeding valid. It is clear and well established law that a void order can be challenged in any court.</w:t>
      </w:r>
      <w:r w:rsidR="00F0630D">
        <w:rPr>
          <w:szCs w:val="28"/>
        </w:rPr>
        <w:t>”</w:t>
      </w:r>
      <w:r w:rsidRPr="008A5B74">
        <w:rPr>
          <w:rStyle w:val="FootnoteReference"/>
          <w:szCs w:val="28"/>
        </w:rPr>
        <w:footnoteReference w:id="26"/>
      </w:r>
      <w:r w:rsidRPr="001C3F9B">
        <w:rPr>
          <w:szCs w:val="28"/>
        </w:rPr>
        <w:t xml:space="preserve"> Therefore, </w:t>
      </w:r>
      <w:r w:rsidR="00F0630D">
        <w:rPr>
          <w:szCs w:val="28"/>
        </w:rPr>
        <w:t>“</w:t>
      </w:r>
      <w:r w:rsidRPr="001C3F9B">
        <w:rPr>
          <w:szCs w:val="28"/>
        </w:rPr>
        <w:t>the burden shifts to the court to prove jurisdiction</w:t>
      </w:r>
      <w:r w:rsidRPr="008A5B74">
        <w:rPr>
          <w:rStyle w:val="FootnoteReference"/>
          <w:szCs w:val="28"/>
        </w:rPr>
        <w:footnoteReference w:id="27"/>
      </w:r>
      <w:r w:rsidRPr="001C3F9B">
        <w:rPr>
          <w:szCs w:val="28"/>
        </w:rPr>
        <w:t xml:space="preserve"> on the record, all jurisdiction facts related to the jurisdiction asserted.</w:t>
      </w:r>
      <w:r w:rsidR="00F0630D">
        <w:rPr>
          <w:szCs w:val="28"/>
        </w:rPr>
        <w:t>”</w:t>
      </w:r>
      <w:r w:rsidRPr="008A5B74">
        <w:rPr>
          <w:rStyle w:val="FootnoteReference"/>
          <w:szCs w:val="28"/>
        </w:rPr>
        <w:footnoteReference w:id="28"/>
      </w:r>
      <w:r w:rsidRPr="001C3F9B">
        <w:rPr>
          <w:szCs w:val="28"/>
        </w:rPr>
        <w:t xml:space="preserve"> </w:t>
      </w:r>
      <w:r w:rsidR="00F0630D">
        <w:rPr>
          <w:szCs w:val="28"/>
        </w:rPr>
        <w:lastRenderedPageBreak/>
        <w:t>“</w:t>
      </w:r>
      <w:r w:rsidRPr="001C3F9B">
        <w:rPr>
          <w:szCs w:val="28"/>
        </w:rPr>
        <w:t>Where a court failed to observe safeguards, it amounts to denial of due process of law, court is deprived of juris</w:t>
      </w:r>
      <w:r>
        <w:rPr>
          <w:szCs w:val="28"/>
        </w:rPr>
        <w:t>diction</w:t>
      </w:r>
      <w:r w:rsidRPr="001C3F9B">
        <w:rPr>
          <w:szCs w:val="28"/>
        </w:rPr>
        <w:t>.</w:t>
      </w:r>
      <w:r w:rsidR="00F0630D">
        <w:rPr>
          <w:szCs w:val="28"/>
        </w:rPr>
        <w:t>”</w:t>
      </w:r>
      <w:r w:rsidRPr="008A5B74">
        <w:rPr>
          <w:rStyle w:val="FootnoteReference"/>
          <w:szCs w:val="28"/>
        </w:rPr>
        <w:footnoteReference w:id="29"/>
      </w:r>
      <w:r w:rsidRPr="001C3F9B">
        <w:rPr>
          <w:szCs w:val="28"/>
        </w:rPr>
        <w:t xml:space="preserve"> </w:t>
      </w:r>
    </w:p>
    <w:p w:rsidR="009C162E" w:rsidRDefault="003F67CD" w:rsidP="009C162E">
      <w:pPr>
        <w:jc w:val="both"/>
        <w:rPr>
          <w:rFonts w:cs="Times New Roman"/>
          <w:szCs w:val="28"/>
        </w:rPr>
      </w:pPr>
      <w:r w:rsidRPr="008A5B74">
        <w:rPr>
          <w:rFonts w:asciiTheme="minorHAnsi" w:hAnsiTheme="minorHAnsi" w:cstheme="minorHAnsi"/>
          <w:szCs w:val="28"/>
        </w:rPr>
        <w:t>In criminal cases, a court must have an indictment by an untainted</w:t>
      </w:r>
      <w:r>
        <w:rPr>
          <w:rFonts w:asciiTheme="minorHAnsi" w:hAnsiTheme="minorHAnsi" w:cstheme="minorHAnsi"/>
          <w:szCs w:val="28"/>
        </w:rPr>
        <w:t xml:space="preserve"> (non-statutory)</w:t>
      </w:r>
      <w:r w:rsidRPr="008A5B74">
        <w:rPr>
          <w:rFonts w:asciiTheme="minorHAnsi" w:hAnsiTheme="minorHAnsi" w:cstheme="minorHAnsi"/>
          <w:szCs w:val="28"/>
        </w:rPr>
        <w:t xml:space="preserve"> grand jury, in other words, the permission by the People to proceed. Furthermore, </w:t>
      </w:r>
      <w:r w:rsidR="00F0630D">
        <w:rPr>
          <w:rFonts w:asciiTheme="minorHAnsi" w:hAnsiTheme="minorHAnsi" w:cstheme="minorHAnsi"/>
          <w:szCs w:val="28"/>
        </w:rPr>
        <w:t>“</w:t>
      </w:r>
      <w:r w:rsidRPr="008A5B74">
        <w:rPr>
          <w:rFonts w:asciiTheme="minorHAnsi" w:hAnsiTheme="minorHAnsi" w:cstheme="minorHAnsi"/>
          <w:szCs w:val="28"/>
        </w:rPr>
        <w:t>all</w:t>
      </w:r>
      <w:r w:rsidR="00F0630D">
        <w:rPr>
          <w:rFonts w:asciiTheme="minorHAnsi" w:hAnsiTheme="minorHAnsi" w:cstheme="minorHAnsi"/>
          <w:szCs w:val="28"/>
        </w:rPr>
        <w:t>”</w:t>
      </w:r>
      <w:r w:rsidRPr="008A5B74">
        <w:rPr>
          <w:rFonts w:asciiTheme="minorHAnsi" w:hAnsiTheme="minorHAnsi" w:cstheme="minorHAnsi"/>
          <w:szCs w:val="28"/>
        </w:rPr>
        <w:t xml:space="preserve"> state laws and constitutions are ultimately governed by the </w:t>
      </w:r>
      <w:r w:rsidR="00F0630D">
        <w:rPr>
          <w:rFonts w:asciiTheme="minorHAnsi" w:hAnsiTheme="minorHAnsi" w:cstheme="minorHAnsi"/>
          <w:szCs w:val="28"/>
        </w:rPr>
        <w:t>“</w:t>
      </w:r>
      <w:r w:rsidRPr="008A5B74">
        <w:rPr>
          <w:rFonts w:asciiTheme="minorHAnsi" w:hAnsiTheme="minorHAnsi" w:cstheme="minorHAnsi"/>
          <w:szCs w:val="28"/>
        </w:rPr>
        <w:t>Supremacy Clause</w:t>
      </w:r>
      <w:r w:rsidR="00F0630D">
        <w:rPr>
          <w:rFonts w:asciiTheme="minorHAnsi" w:hAnsiTheme="minorHAnsi" w:cstheme="minorHAnsi"/>
          <w:szCs w:val="28"/>
        </w:rPr>
        <w:t>”</w:t>
      </w:r>
      <w:r w:rsidRPr="008A5B74">
        <w:rPr>
          <w:rFonts w:asciiTheme="minorHAnsi" w:hAnsiTheme="minorHAnsi" w:cstheme="minorHAnsi"/>
          <w:szCs w:val="28"/>
        </w:rPr>
        <w:t xml:space="preserve"> of the Constitution for the United States of America as ordained by the People in Article VI, clause 2, that defines the </w:t>
      </w:r>
      <w:r w:rsidR="00F0630D">
        <w:rPr>
          <w:rFonts w:asciiTheme="minorHAnsi" w:hAnsiTheme="minorHAnsi" w:cstheme="minorHAnsi"/>
          <w:szCs w:val="28"/>
        </w:rPr>
        <w:t>“</w:t>
      </w:r>
      <w:r w:rsidRPr="008A5B74">
        <w:rPr>
          <w:rFonts w:asciiTheme="minorHAnsi" w:hAnsiTheme="minorHAnsi" w:cstheme="minorHAnsi"/>
          <w:szCs w:val="28"/>
        </w:rPr>
        <w:t>Law of the Land</w:t>
      </w:r>
      <w:r w:rsidR="00F0630D">
        <w:rPr>
          <w:rFonts w:asciiTheme="minorHAnsi" w:hAnsiTheme="minorHAnsi" w:cstheme="minorHAnsi"/>
          <w:szCs w:val="28"/>
        </w:rPr>
        <w:t>.”</w:t>
      </w:r>
      <w:r w:rsidRPr="008A5B74">
        <w:rPr>
          <w:rFonts w:asciiTheme="minorHAnsi" w:hAnsiTheme="minorHAnsi" w:cstheme="minorHAnsi"/>
          <w:szCs w:val="28"/>
        </w:rPr>
        <w:t xml:space="preserve"> </w:t>
      </w:r>
      <w:r w:rsidR="009C162E">
        <w:rPr>
          <w:rFonts w:cs="Times New Roman"/>
          <w:szCs w:val="28"/>
        </w:rPr>
        <w:t>And, since C</w:t>
      </w:r>
      <w:r w:rsidR="009C162E" w:rsidRPr="00B216B9">
        <w:rPr>
          <w:rFonts w:cs="Times New Roman"/>
          <w:szCs w:val="28"/>
        </w:rPr>
        <w:t>onstitutions must be construed to reference</w:t>
      </w:r>
      <w:r w:rsidR="009C162E">
        <w:rPr>
          <w:rFonts w:cs="Times New Roman"/>
          <w:szCs w:val="28"/>
        </w:rPr>
        <w:t xml:space="preserve"> </w:t>
      </w:r>
      <w:r w:rsidR="009C162E" w:rsidRPr="00B216B9">
        <w:rPr>
          <w:rFonts w:cs="Times New Roman"/>
          <w:szCs w:val="28"/>
        </w:rPr>
        <w:t>the common law</w:t>
      </w:r>
      <w:r w:rsidR="009C162E">
        <w:rPr>
          <w:rFonts w:cs="Times New Roman"/>
          <w:szCs w:val="28"/>
        </w:rPr>
        <w:t>,</w:t>
      </w:r>
      <w:r w:rsidR="009C162E" w:rsidRPr="00B216B9">
        <w:rPr>
          <w:rFonts w:cs="Times New Roman"/>
          <w:szCs w:val="28"/>
        </w:rPr>
        <w:t xml:space="preserve"> summary proceedings</w:t>
      </w:r>
      <w:r w:rsidR="009C162E">
        <w:rPr>
          <w:rStyle w:val="FootnoteReference"/>
          <w:rFonts w:cs="Times New Roman"/>
          <w:szCs w:val="28"/>
        </w:rPr>
        <w:footnoteReference w:id="30"/>
      </w:r>
      <w:r w:rsidR="009C162E" w:rsidRPr="00B216B9">
        <w:rPr>
          <w:rFonts w:cs="Times New Roman"/>
          <w:szCs w:val="28"/>
        </w:rPr>
        <w:t xml:space="preserve"> </w:t>
      </w:r>
      <w:r w:rsidR="009C162E">
        <w:rPr>
          <w:rFonts w:cs="Times New Roman"/>
          <w:szCs w:val="28"/>
        </w:rPr>
        <w:t>would deny petitioner’s 7</w:t>
      </w:r>
      <w:r w:rsidR="009C162E" w:rsidRPr="00265964">
        <w:rPr>
          <w:rFonts w:cs="Times New Roman"/>
          <w:szCs w:val="28"/>
          <w:vertAlign w:val="superscript"/>
        </w:rPr>
        <w:t>th</w:t>
      </w:r>
      <w:r w:rsidR="009C162E">
        <w:rPr>
          <w:rFonts w:cs="Times New Roman"/>
          <w:szCs w:val="28"/>
        </w:rPr>
        <w:t xml:space="preserve"> Amendment’s right</w:t>
      </w:r>
      <w:r w:rsidR="009C162E">
        <w:rPr>
          <w:rStyle w:val="FootnoteReference"/>
          <w:rFonts w:cs="Times New Roman"/>
          <w:szCs w:val="28"/>
        </w:rPr>
        <w:footnoteReference w:id="31"/>
      </w:r>
      <w:r w:rsidR="009C162E">
        <w:rPr>
          <w:rFonts w:cs="Times New Roman"/>
          <w:szCs w:val="28"/>
        </w:rPr>
        <w:t xml:space="preserve"> of trial by jury and, thereby, would be repugnant rendering any such decision </w:t>
      </w:r>
      <w:r w:rsidR="009C162E" w:rsidRPr="00B216B9">
        <w:rPr>
          <w:rFonts w:cs="Times New Roman"/>
          <w:szCs w:val="28"/>
        </w:rPr>
        <w:t>null and void</w:t>
      </w:r>
      <w:r w:rsidR="009C162E">
        <w:rPr>
          <w:rFonts w:cs="Times New Roman"/>
          <w:szCs w:val="28"/>
        </w:rPr>
        <w:t>.</w:t>
      </w:r>
    </w:p>
    <w:p w:rsidR="00191897" w:rsidRPr="008A5B74" w:rsidRDefault="00F0630D" w:rsidP="008A5B74">
      <w:pPr>
        <w:jc w:val="both"/>
        <w:rPr>
          <w:rFonts w:cs="Times New Roman"/>
          <w:szCs w:val="28"/>
        </w:rPr>
      </w:pPr>
      <w:r>
        <w:rPr>
          <w:rFonts w:cs="Times New Roman"/>
          <w:szCs w:val="28"/>
        </w:rPr>
        <w:t>“</w:t>
      </w:r>
      <w:r w:rsidR="00191897" w:rsidRPr="008A5B74">
        <w:rPr>
          <w:rFonts w:cs="Times New Roman"/>
          <w:szCs w:val="28"/>
        </w:rPr>
        <w:t>Once challenged, jurisdiction cannot be ‘assumed’, it must be proved to exist.</w:t>
      </w:r>
      <w:r>
        <w:rPr>
          <w:rFonts w:cs="Times New Roman"/>
          <w:szCs w:val="28"/>
        </w:rPr>
        <w:t>”</w:t>
      </w:r>
      <w:r w:rsidR="00191897" w:rsidRPr="008A5B74">
        <w:rPr>
          <w:rStyle w:val="FootnoteReference"/>
          <w:rFonts w:cs="Times New Roman"/>
          <w:szCs w:val="28"/>
        </w:rPr>
        <w:footnoteReference w:id="32"/>
      </w:r>
      <w:r w:rsidR="00191897" w:rsidRPr="008A5B74">
        <w:rPr>
          <w:rFonts w:cs="Times New Roman"/>
          <w:szCs w:val="28"/>
        </w:rPr>
        <w:t xml:space="preserve"> </w:t>
      </w:r>
      <w:r>
        <w:rPr>
          <w:rFonts w:cs="Times New Roman"/>
          <w:szCs w:val="28"/>
        </w:rPr>
        <w:t>“</w:t>
      </w:r>
      <w:r w:rsidR="00191897" w:rsidRPr="008A5B74">
        <w:rPr>
          <w:rFonts w:cs="Times New Roman"/>
          <w:szCs w:val="28"/>
        </w:rPr>
        <w:t>However late this objection has been made, or may be made in any cause, in an inferior or appellate court of the United States, it must be considered and decided, before any court can move one further step in the cause; as any movement is necessarily the exercise of jurisdiction.</w:t>
      </w:r>
      <w:r>
        <w:rPr>
          <w:rFonts w:cs="Times New Roman"/>
          <w:szCs w:val="28"/>
        </w:rPr>
        <w:t>”</w:t>
      </w:r>
      <w:r w:rsidR="00191897" w:rsidRPr="008A5B74">
        <w:rPr>
          <w:rStyle w:val="FootnoteReference"/>
          <w:rFonts w:cs="Times New Roman"/>
          <w:szCs w:val="28"/>
        </w:rPr>
        <w:footnoteReference w:id="33"/>
      </w:r>
      <w:r w:rsidR="00191897" w:rsidRPr="008A5B74">
        <w:rPr>
          <w:rFonts w:cs="Times New Roman"/>
          <w:szCs w:val="28"/>
        </w:rPr>
        <w:t xml:space="preserve"> </w:t>
      </w:r>
      <w:r>
        <w:rPr>
          <w:rFonts w:cs="Times New Roman"/>
          <w:szCs w:val="28"/>
        </w:rPr>
        <w:t>“</w:t>
      </w:r>
      <w:r w:rsidR="00191897" w:rsidRPr="008A5B74">
        <w:rPr>
          <w:rFonts w:cs="Times New Roman"/>
          <w:szCs w:val="28"/>
        </w:rPr>
        <w:t>If any tribunal finds absence of proof of jurisdiction over person and subject matter, the case must be dismissed.</w:t>
      </w:r>
      <w:r>
        <w:rPr>
          <w:rFonts w:cs="Times New Roman"/>
          <w:szCs w:val="28"/>
        </w:rPr>
        <w:t>”</w:t>
      </w:r>
      <w:r w:rsidR="00191897" w:rsidRPr="008A5B74">
        <w:rPr>
          <w:rStyle w:val="FootnoteReference"/>
          <w:rFonts w:cs="Times New Roman"/>
          <w:szCs w:val="28"/>
        </w:rPr>
        <w:footnoteReference w:id="34"/>
      </w:r>
      <w:r w:rsidR="00191897" w:rsidRPr="008A5B74">
        <w:rPr>
          <w:rFonts w:cs="Times New Roman"/>
          <w:szCs w:val="28"/>
        </w:rPr>
        <w:t xml:space="preserve"> </w:t>
      </w:r>
    </w:p>
    <w:p w:rsidR="007600F4" w:rsidRDefault="00191897" w:rsidP="008A5B74">
      <w:pPr>
        <w:jc w:val="both"/>
        <w:rPr>
          <w:szCs w:val="28"/>
        </w:rPr>
      </w:pPr>
      <w:r w:rsidRPr="008A5B74">
        <w:rPr>
          <w:rFonts w:cs="Times New Roman"/>
          <w:szCs w:val="28"/>
        </w:rPr>
        <w:t xml:space="preserve">Finally jurisdiction cannot be decided by the court being challenged. This court must dismiss this case </w:t>
      </w:r>
      <w:r w:rsidRPr="008A5B74">
        <w:rPr>
          <w:szCs w:val="28"/>
        </w:rPr>
        <w:t xml:space="preserve">for lack of personam jurisdiction </w:t>
      </w:r>
      <w:r w:rsidRPr="008A5B74">
        <w:rPr>
          <w:rFonts w:cs="Times New Roman"/>
          <w:szCs w:val="28"/>
        </w:rPr>
        <w:t xml:space="preserve">immediately or make an argument for jurisdiction in a court of record. Refusal by this court, not of record, to obey the law and pursue a voidable decision will cause the petitioner to move this case into federal court for cause </w:t>
      </w:r>
      <w:r w:rsidRPr="008A5B74">
        <w:rPr>
          <w:szCs w:val="28"/>
        </w:rPr>
        <w:t>in violation of petitioner’s right of due process for damages and dismissal.</w:t>
      </w:r>
    </w:p>
    <w:p w:rsidR="00C07743" w:rsidRPr="008A5B74" w:rsidRDefault="00C07743" w:rsidP="008A5B74">
      <w:pPr>
        <w:jc w:val="both"/>
        <w:rPr>
          <w:szCs w:val="28"/>
        </w:rPr>
      </w:pPr>
    </w:p>
    <w:p w:rsidR="00677B6B" w:rsidRPr="00677B6B" w:rsidRDefault="00191897" w:rsidP="00677B6B">
      <w:pPr>
        <w:jc w:val="both"/>
        <w:rPr>
          <w:szCs w:val="28"/>
        </w:rPr>
      </w:pPr>
      <w:r w:rsidRPr="008A5B74">
        <w:rPr>
          <w:rFonts w:ascii="Old English Text MT" w:hAnsi="Old English Text MT"/>
          <w:b/>
          <w:smallCaps/>
          <w:szCs w:val="28"/>
        </w:rPr>
        <w:lastRenderedPageBreak/>
        <w:t>W</w:t>
      </w:r>
      <w:r w:rsidRPr="008A5B74">
        <w:rPr>
          <w:b/>
          <w:smallCaps/>
          <w:szCs w:val="28"/>
        </w:rPr>
        <w:t>herefore,</w:t>
      </w:r>
      <w:r w:rsidRPr="008A5B74">
        <w:rPr>
          <w:szCs w:val="28"/>
        </w:rPr>
        <w:t xml:space="preserve"> petitioner denies this court personam jurisdiction and moves this court to </w:t>
      </w:r>
      <w:r w:rsidRPr="00677B6B">
        <w:rPr>
          <w:szCs w:val="28"/>
        </w:rPr>
        <w:t>cease and desist</w:t>
      </w:r>
      <w:r w:rsidR="00677B6B" w:rsidRPr="00677B6B">
        <w:rPr>
          <w:szCs w:val="28"/>
        </w:rPr>
        <w:t xml:space="preserve"> </w:t>
      </w:r>
      <w:r w:rsidR="00677B6B" w:rsidRPr="00677B6B">
        <w:rPr>
          <w:rFonts w:cs="Times New Roman"/>
          <w:szCs w:val="28"/>
        </w:rPr>
        <w:t>with prejudice</w:t>
      </w:r>
      <w:r w:rsidRPr="00677B6B">
        <w:rPr>
          <w:szCs w:val="28"/>
        </w:rPr>
        <w:t xml:space="preserve"> from all actions against petitioner and restore the</w:t>
      </w:r>
      <w:r w:rsidRPr="008A5B74">
        <w:rPr>
          <w:szCs w:val="28"/>
        </w:rPr>
        <w:t xml:space="preserve"> petitioner to their original state for lack of constitutional authority and personam jurisdiction. Failure of the officers of this court to comply with the </w:t>
      </w:r>
      <w:r w:rsidR="00F0630D">
        <w:rPr>
          <w:szCs w:val="28"/>
        </w:rPr>
        <w:t>“</w:t>
      </w:r>
      <w:r w:rsidRPr="008A5B74">
        <w:rPr>
          <w:szCs w:val="28"/>
        </w:rPr>
        <w:t>Law of the Land</w:t>
      </w:r>
      <w:r w:rsidR="00F0630D">
        <w:rPr>
          <w:szCs w:val="28"/>
        </w:rPr>
        <w:t>”</w:t>
      </w:r>
      <w:r w:rsidRPr="008A5B74">
        <w:rPr>
          <w:rStyle w:val="FootnoteReference"/>
          <w:szCs w:val="28"/>
        </w:rPr>
        <w:footnoteReference w:id="35"/>
      </w:r>
      <w:r w:rsidRPr="008A5B74">
        <w:rPr>
          <w:szCs w:val="28"/>
        </w:rPr>
        <w:t xml:space="preserve"> and their oath</w:t>
      </w:r>
      <w:r w:rsidRPr="008A5B74">
        <w:rPr>
          <w:rStyle w:val="FootnoteReference"/>
          <w:szCs w:val="28"/>
        </w:rPr>
        <w:footnoteReference w:id="36"/>
      </w:r>
      <w:r w:rsidRPr="008A5B74">
        <w:rPr>
          <w:szCs w:val="28"/>
        </w:rPr>
        <w:t xml:space="preserve"> to th</w:t>
      </w:r>
      <w:r w:rsidR="00677B6B">
        <w:rPr>
          <w:szCs w:val="28"/>
        </w:rPr>
        <w:t>e</w:t>
      </w:r>
      <w:r w:rsidRPr="008A5B74">
        <w:rPr>
          <w:szCs w:val="28"/>
        </w:rPr>
        <w:t xml:space="preserve"> Law will result in further action</w:t>
      </w:r>
      <w:r w:rsidR="00677B6B">
        <w:rPr>
          <w:szCs w:val="28"/>
        </w:rPr>
        <w:t xml:space="preserve"> in federal court</w:t>
      </w:r>
      <w:r w:rsidRPr="008A5B74">
        <w:rPr>
          <w:szCs w:val="28"/>
        </w:rPr>
        <w:t xml:space="preserve"> charging 18 USC §241 </w:t>
      </w:r>
      <w:r w:rsidRPr="00677B6B">
        <w:rPr>
          <w:szCs w:val="28"/>
        </w:rPr>
        <w:t>conspiracy against</w:t>
      </w:r>
      <w:r w:rsidR="00E03E00" w:rsidRPr="00677B6B">
        <w:rPr>
          <w:szCs w:val="28"/>
        </w:rPr>
        <w:t xml:space="preserve"> Rights</w:t>
      </w:r>
      <w:r w:rsidRPr="00677B6B">
        <w:rPr>
          <w:szCs w:val="28"/>
        </w:rPr>
        <w:t>, 18 USC §242 deprivation</w:t>
      </w:r>
      <w:r w:rsidR="00E03E00" w:rsidRPr="00677B6B">
        <w:rPr>
          <w:szCs w:val="28"/>
        </w:rPr>
        <w:t xml:space="preserve"> of Rights</w:t>
      </w:r>
      <w:r w:rsidRPr="00677B6B">
        <w:rPr>
          <w:szCs w:val="28"/>
        </w:rPr>
        <w:t xml:space="preserve">, </w:t>
      </w:r>
      <w:r w:rsidR="00677B6B">
        <w:rPr>
          <w:szCs w:val="28"/>
        </w:rPr>
        <w:t xml:space="preserve">and </w:t>
      </w:r>
      <w:r w:rsidR="00677B6B" w:rsidRPr="00677B6B">
        <w:rPr>
          <w:rFonts w:cs="Times New Roman"/>
          <w:szCs w:val="28"/>
        </w:rPr>
        <w:t>restitution as required by common law</w:t>
      </w:r>
      <w:r w:rsidR="00C53E56">
        <w:rPr>
          <w:rFonts w:cs="Times New Roman"/>
          <w:szCs w:val="28"/>
        </w:rPr>
        <w:t>, a</w:t>
      </w:r>
      <w:r w:rsidR="00C53E56" w:rsidRPr="008A5B74">
        <w:rPr>
          <w:szCs w:val="28"/>
        </w:rPr>
        <w:t>nd Fraud upon the court</w:t>
      </w:r>
      <w:r w:rsidR="00C53E56">
        <w:rPr>
          <w:szCs w:val="28"/>
        </w:rPr>
        <w:t xml:space="preserve"> via judicial machinery</w:t>
      </w:r>
      <w:r w:rsidR="00C53E56" w:rsidRPr="008A5B74">
        <w:rPr>
          <w:szCs w:val="28"/>
        </w:rPr>
        <w:t>.</w:t>
      </w:r>
      <w:r w:rsidR="00C53E56" w:rsidRPr="008A5B74">
        <w:rPr>
          <w:rStyle w:val="FootnoteReference"/>
          <w:szCs w:val="28"/>
        </w:rPr>
        <w:footnoteReference w:id="37"/>
      </w:r>
    </w:p>
    <w:p w:rsidR="009403A4" w:rsidRPr="008A5B74" w:rsidRDefault="009403A4" w:rsidP="008A5B74">
      <w:pPr>
        <w:ind w:firstLine="720"/>
        <w:jc w:val="both"/>
        <w:rPr>
          <w:szCs w:val="28"/>
        </w:rPr>
      </w:pPr>
      <w:r w:rsidRPr="008A5B74">
        <w:rPr>
          <w:szCs w:val="28"/>
        </w:rPr>
        <w:t>SEAL</w:t>
      </w:r>
      <w:r w:rsidRPr="008A5B74">
        <w:rPr>
          <w:szCs w:val="28"/>
        </w:rPr>
        <w:tab/>
      </w:r>
    </w:p>
    <w:p w:rsidR="00C53E56" w:rsidRDefault="00C53E56" w:rsidP="00C53E56">
      <w:pPr>
        <w:spacing w:after="0"/>
        <w:rPr>
          <w:szCs w:val="28"/>
        </w:rPr>
      </w:pPr>
      <w:r>
        <w:rPr>
          <w:szCs w:val="28"/>
        </w:rPr>
        <w:tab/>
      </w:r>
      <w:r>
        <w:rPr>
          <w:szCs w:val="28"/>
        </w:rPr>
        <w:tab/>
      </w:r>
      <w:r>
        <w:rPr>
          <w:szCs w:val="28"/>
        </w:rPr>
        <w:tab/>
      </w:r>
      <w:r>
        <w:rPr>
          <w:szCs w:val="28"/>
        </w:rPr>
        <w:tab/>
      </w:r>
      <w:r>
        <w:rPr>
          <w:szCs w:val="28"/>
        </w:rPr>
        <w:tab/>
      </w:r>
      <w:r w:rsidRPr="00C53E56">
        <w:rPr>
          <w:color w:val="FF0000"/>
          <w:szCs w:val="28"/>
        </w:rPr>
        <w:t>Dated</w:t>
      </w:r>
    </w:p>
    <w:p w:rsidR="00C51B51" w:rsidRPr="008A5B74" w:rsidRDefault="00C51B51" w:rsidP="008A5B74">
      <w:pPr>
        <w:spacing w:after="0"/>
        <w:jc w:val="right"/>
        <w:rPr>
          <w:szCs w:val="28"/>
        </w:rPr>
      </w:pPr>
      <w:r w:rsidRPr="008A5B74">
        <w:rPr>
          <w:szCs w:val="28"/>
        </w:rPr>
        <w:t>_______________________________</w:t>
      </w:r>
    </w:p>
    <w:p w:rsidR="00A3105A" w:rsidRDefault="00A3105A" w:rsidP="008A5B74">
      <w:pPr>
        <w:rPr>
          <w:szCs w:val="28"/>
        </w:rPr>
      </w:pPr>
      <w:r w:rsidRPr="008A5B74">
        <w:rPr>
          <w:szCs w:val="28"/>
        </w:rPr>
        <w:tab/>
      </w:r>
      <w:r w:rsidRPr="008A5B74">
        <w:rPr>
          <w:szCs w:val="28"/>
        </w:rPr>
        <w:tab/>
      </w:r>
      <w:r w:rsidRPr="008A5B74">
        <w:rPr>
          <w:szCs w:val="28"/>
        </w:rPr>
        <w:tab/>
      </w:r>
      <w:r w:rsidRPr="008A5B74">
        <w:rPr>
          <w:szCs w:val="28"/>
        </w:rPr>
        <w:tab/>
      </w:r>
      <w:r w:rsidRPr="008A5B74">
        <w:rPr>
          <w:szCs w:val="28"/>
        </w:rPr>
        <w:tab/>
      </w:r>
      <w:r w:rsidRPr="008A5B74">
        <w:rPr>
          <w:szCs w:val="28"/>
        </w:rPr>
        <w:tab/>
      </w:r>
      <w:r w:rsidRPr="008A5B74">
        <w:rPr>
          <w:szCs w:val="28"/>
        </w:rPr>
        <w:tab/>
      </w:r>
      <w:r w:rsidRPr="008A5B74">
        <w:rPr>
          <w:szCs w:val="28"/>
        </w:rPr>
        <w:tab/>
      </w:r>
      <w:r w:rsidRPr="008A5B74">
        <w:rPr>
          <w:szCs w:val="28"/>
        </w:rPr>
        <w:tab/>
      </w:r>
      <w:r w:rsidRPr="008A5B74">
        <w:rPr>
          <w:szCs w:val="28"/>
        </w:rPr>
        <w:tab/>
        <w:t>In pro per</w:t>
      </w:r>
    </w:p>
    <w:p w:rsidR="00F0630D" w:rsidRPr="008A5B74" w:rsidRDefault="00F0630D" w:rsidP="008A5B74">
      <w:pPr>
        <w:rPr>
          <w:szCs w:val="28"/>
        </w:rPr>
      </w:pPr>
    </w:p>
    <w:p w:rsidR="00C51B51" w:rsidRPr="006C76E2" w:rsidRDefault="00C51B51" w:rsidP="00C51B51">
      <w:pPr>
        <w:jc w:val="center"/>
        <w:rPr>
          <w:rFonts w:cs="Times New Roman"/>
          <w:b/>
          <w:sz w:val="24"/>
          <w:szCs w:val="24"/>
        </w:rPr>
      </w:pPr>
      <w:r w:rsidRPr="006C76E2">
        <w:rPr>
          <w:rFonts w:cs="Times New Roman"/>
          <w:b/>
          <w:sz w:val="24"/>
          <w:szCs w:val="24"/>
        </w:rPr>
        <w:t>NOTARY</w:t>
      </w:r>
    </w:p>
    <w:p w:rsidR="00C51B51" w:rsidRPr="00C252DC" w:rsidRDefault="002E5915" w:rsidP="00C51B51">
      <w:pPr>
        <w:jc w:val="both"/>
        <w:rPr>
          <w:rFonts w:cs="Times New Roman"/>
          <w:sz w:val="20"/>
        </w:rPr>
      </w:pPr>
      <w:r w:rsidRPr="00C252DC">
        <w:rPr>
          <w:rFonts w:cs="Times New Roman"/>
          <w:color w:val="FF0000"/>
          <w:sz w:val="20"/>
        </w:rPr>
        <w:t>Your</w:t>
      </w:r>
      <w:r w:rsidR="00C51B51" w:rsidRPr="00C252DC">
        <w:rPr>
          <w:rFonts w:cs="Times New Roman"/>
          <w:sz w:val="20"/>
        </w:rPr>
        <w:t xml:space="preserve"> State, </w:t>
      </w:r>
      <w:r w:rsidRPr="00C252DC">
        <w:rPr>
          <w:rFonts w:cs="Times New Roman"/>
          <w:color w:val="FF0000"/>
          <w:sz w:val="20"/>
        </w:rPr>
        <w:t>Your</w:t>
      </w:r>
      <w:r w:rsidR="00C51B51" w:rsidRPr="00C252DC">
        <w:rPr>
          <w:rFonts w:cs="Times New Roman"/>
          <w:sz w:val="20"/>
        </w:rPr>
        <w:t xml:space="preserve"> County on this </w:t>
      </w:r>
      <w:r w:rsidRPr="00C252DC">
        <w:rPr>
          <w:rFonts w:cs="Times New Roman"/>
          <w:sz w:val="20"/>
        </w:rPr>
        <w:t>____</w:t>
      </w:r>
      <w:r w:rsidR="00D7405A" w:rsidRPr="00C252DC">
        <w:rPr>
          <w:rFonts w:cs="Times New Roman"/>
          <w:sz w:val="20"/>
        </w:rPr>
        <w:t xml:space="preserve"> </w:t>
      </w:r>
      <w:r w:rsidR="00C51B51" w:rsidRPr="00C252DC">
        <w:rPr>
          <w:rFonts w:cs="Times New Roman"/>
          <w:sz w:val="20"/>
        </w:rPr>
        <w:t xml:space="preserve">day of </w:t>
      </w:r>
      <w:r w:rsidR="002F1369" w:rsidRPr="00C252DC">
        <w:rPr>
          <w:rFonts w:cs="Times New Roman"/>
          <w:sz w:val="20"/>
        </w:rPr>
        <w:t>______________</w:t>
      </w:r>
      <w:r w:rsidR="00C51B51" w:rsidRPr="00C252DC">
        <w:rPr>
          <w:rFonts w:cs="Times New Roman"/>
          <w:sz w:val="20"/>
        </w:rPr>
        <w:t xml:space="preserve"> 20</w:t>
      </w:r>
      <w:r w:rsidRPr="00C252DC">
        <w:rPr>
          <w:rFonts w:cs="Times New Roman"/>
          <w:sz w:val="20"/>
        </w:rPr>
        <w:t>___</w:t>
      </w:r>
      <w:r w:rsidR="00C51B51" w:rsidRPr="00C252DC">
        <w:rPr>
          <w:rFonts w:cs="Times New Roman"/>
          <w:sz w:val="20"/>
        </w:rPr>
        <w:t xml:space="preserve"> before me, the subscriber, personally appeared </w:t>
      </w:r>
      <w:r w:rsidRPr="00C252DC">
        <w:rPr>
          <w:rFonts w:cs="Times New Roman"/>
          <w:color w:val="FF0000"/>
          <w:sz w:val="20"/>
        </w:rPr>
        <w:t>Your Name</w:t>
      </w:r>
      <w:r w:rsidR="00C51B51" w:rsidRPr="00C252DC">
        <w:rPr>
          <w:rFonts w:cs="Times New Roman"/>
          <w:sz w:val="20"/>
        </w:rPr>
        <w:t xml:space="preserve"> to me known to be the living </w:t>
      </w:r>
      <w:r w:rsidRPr="00C252DC">
        <w:rPr>
          <w:rFonts w:cs="Times New Roman"/>
          <w:sz w:val="20"/>
        </w:rPr>
        <w:t>(wo)</w:t>
      </w:r>
      <w:r w:rsidR="00C51B51" w:rsidRPr="00C252DC">
        <w:rPr>
          <w:rFonts w:cs="Times New Roman"/>
          <w:sz w:val="20"/>
        </w:rPr>
        <w:t>man describe</w:t>
      </w:r>
      <w:r w:rsidR="00D82C9D" w:rsidRPr="00C252DC">
        <w:rPr>
          <w:rFonts w:cs="Times New Roman"/>
          <w:sz w:val="20"/>
        </w:rPr>
        <w:t>d</w:t>
      </w:r>
      <w:r w:rsidR="00C51B51" w:rsidRPr="00C252DC">
        <w:rPr>
          <w:rFonts w:cs="Times New Roman"/>
          <w:sz w:val="20"/>
        </w:rPr>
        <w:t xml:space="preserve"> in and who executed the forgoing instrument and sworn before me that </w:t>
      </w:r>
      <w:r w:rsidRPr="00C252DC">
        <w:rPr>
          <w:rFonts w:cs="Times New Roman"/>
          <w:sz w:val="20"/>
        </w:rPr>
        <w:t>(s)he</w:t>
      </w:r>
      <w:r w:rsidR="00C51B51" w:rsidRPr="00C252DC">
        <w:rPr>
          <w:rFonts w:cs="Times New Roman"/>
          <w:sz w:val="20"/>
        </w:rPr>
        <w:t xml:space="preserve"> executed the same as their free will act and deed.</w:t>
      </w:r>
    </w:p>
    <w:p w:rsidR="00C51B51" w:rsidRPr="00C252DC" w:rsidRDefault="00C51B51" w:rsidP="00C51B51">
      <w:pPr>
        <w:spacing w:after="0"/>
        <w:jc w:val="right"/>
        <w:rPr>
          <w:rFonts w:cs="Times New Roman"/>
          <w:sz w:val="20"/>
        </w:rPr>
      </w:pPr>
      <w:r w:rsidRPr="00C252DC">
        <w:rPr>
          <w:rFonts w:cs="Times New Roman"/>
          <w:sz w:val="20"/>
        </w:rPr>
        <w:t>________________________________</w:t>
      </w:r>
    </w:p>
    <w:p w:rsidR="00B60509" w:rsidRPr="00C252DC" w:rsidRDefault="00B60509">
      <w:pPr>
        <w:spacing w:after="0"/>
        <w:jc w:val="right"/>
        <w:rPr>
          <w:rFonts w:cs="Times New Roman"/>
          <w:sz w:val="20"/>
        </w:rPr>
      </w:pPr>
      <w:bookmarkStart w:id="0" w:name="_GoBack"/>
      <w:bookmarkEnd w:id="0"/>
    </w:p>
    <w:sectPr w:rsidR="00B60509" w:rsidRPr="00C252DC" w:rsidSect="00C07743">
      <w:footerReference w:type="default" r:id="rId8"/>
      <w:pgSz w:w="12240" w:h="15840" w:code="1"/>
      <w:pgMar w:top="1296" w:right="1152" w:bottom="1152" w:left="1152" w:header="720" w:footer="720" w:gutter="0"/>
      <w:lnNumType w:countBy="5" w:restart="continuou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E56" w:rsidRDefault="00B53E56" w:rsidP="00FF0444">
      <w:pPr>
        <w:spacing w:after="0" w:line="240" w:lineRule="auto"/>
      </w:pPr>
      <w:r>
        <w:separator/>
      </w:r>
    </w:p>
  </w:endnote>
  <w:endnote w:type="continuationSeparator" w:id="0">
    <w:p w:rsidR="00B53E56" w:rsidRDefault="00B53E56" w:rsidP="00FF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mallCaps/>
        <w:sz w:val="24"/>
        <w:szCs w:val="24"/>
      </w:rPr>
      <w:id w:val="-1058245163"/>
      <w:docPartObj>
        <w:docPartGallery w:val="Page Numbers (Bottom of Page)"/>
        <w:docPartUnique/>
      </w:docPartObj>
    </w:sdtPr>
    <w:sdtEndPr/>
    <w:sdtContent>
      <w:sdt>
        <w:sdtPr>
          <w:rPr>
            <w:smallCaps/>
            <w:sz w:val="24"/>
            <w:szCs w:val="24"/>
          </w:rPr>
          <w:id w:val="-1669238322"/>
          <w:docPartObj>
            <w:docPartGallery w:val="Page Numbers (Top of Page)"/>
            <w:docPartUnique/>
          </w:docPartObj>
        </w:sdtPr>
        <w:sdtEndPr/>
        <w:sdtContent>
          <w:p w:rsidR="00265964" w:rsidRPr="00C252DC" w:rsidRDefault="00265964">
            <w:pPr>
              <w:pStyle w:val="Footer"/>
              <w:jc w:val="center"/>
              <w:rPr>
                <w:smallCaps/>
                <w:sz w:val="24"/>
                <w:szCs w:val="24"/>
              </w:rPr>
            </w:pPr>
            <w:r w:rsidRPr="00C252DC">
              <w:rPr>
                <w:smallCaps/>
                <w:sz w:val="24"/>
                <w:szCs w:val="24"/>
              </w:rPr>
              <w:t xml:space="preserve">Page </w:t>
            </w:r>
            <w:r w:rsidRPr="00C252DC">
              <w:rPr>
                <w:b/>
                <w:bCs/>
                <w:smallCaps/>
                <w:sz w:val="24"/>
                <w:szCs w:val="24"/>
              </w:rPr>
              <w:fldChar w:fldCharType="begin"/>
            </w:r>
            <w:r w:rsidRPr="00C252DC">
              <w:rPr>
                <w:b/>
                <w:bCs/>
                <w:smallCaps/>
                <w:sz w:val="24"/>
                <w:szCs w:val="24"/>
              </w:rPr>
              <w:instrText xml:space="preserve"> PAGE </w:instrText>
            </w:r>
            <w:r w:rsidRPr="00C252DC">
              <w:rPr>
                <w:b/>
                <w:bCs/>
                <w:smallCaps/>
                <w:sz w:val="24"/>
                <w:szCs w:val="24"/>
              </w:rPr>
              <w:fldChar w:fldCharType="separate"/>
            </w:r>
            <w:r w:rsidR="001C2D59">
              <w:rPr>
                <w:b/>
                <w:bCs/>
                <w:smallCaps/>
                <w:noProof/>
                <w:sz w:val="24"/>
                <w:szCs w:val="24"/>
              </w:rPr>
              <w:t>6</w:t>
            </w:r>
            <w:r w:rsidRPr="00C252DC">
              <w:rPr>
                <w:b/>
                <w:bCs/>
                <w:smallCaps/>
                <w:sz w:val="24"/>
                <w:szCs w:val="24"/>
              </w:rPr>
              <w:fldChar w:fldCharType="end"/>
            </w:r>
            <w:r w:rsidRPr="00C252DC">
              <w:rPr>
                <w:smallCaps/>
                <w:sz w:val="24"/>
                <w:szCs w:val="24"/>
              </w:rPr>
              <w:t xml:space="preserve"> of </w:t>
            </w:r>
            <w:r w:rsidRPr="00C252DC">
              <w:rPr>
                <w:b/>
                <w:bCs/>
                <w:smallCaps/>
                <w:sz w:val="24"/>
                <w:szCs w:val="24"/>
              </w:rPr>
              <w:fldChar w:fldCharType="begin"/>
            </w:r>
            <w:r w:rsidRPr="00C252DC">
              <w:rPr>
                <w:b/>
                <w:bCs/>
                <w:smallCaps/>
                <w:sz w:val="24"/>
                <w:szCs w:val="24"/>
              </w:rPr>
              <w:instrText xml:space="preserve"> NUMPAGES  </w:instrText>
            </w:r>
            <w:r w:rsidRPr="00C252DC">
              <w:rPr>
                <w:b/>
                <w:bCs/>
                <w:smallCaps/>
                <w:sz w:val="24"/>
                <w:szCs w:val="24"/>
              </w:rPr>
              <w:fldChar w:fldCharType="separate"/>
            </w:r>
            <w:r w:rsidR="001C2D59">
              <w:rPr>
                <w:b/>
                <w:bCs/>
                <w:smallCaps/>
                <w:noProof/>
                <w:sz w:val="24"/>
                <w:szCs w:val="24"/>
              </w:rPr>
              <w:t>6</w:t>
            </w:r>
            <w:r w:rsidRPr="00C252DC">
              <w:rPr>
                <w:b/>
                <w:bCs/>
                <w:smallCap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E56" w:rsidRDefault="00B53E56" w:rsidP="00FF0444">
      <w:pPr>
        <w:spacing w:after="0" w:line="240" w:lineRule="auto"/>
      </w:pPr>
      <w:r>
        <w:separator/>
      </w:r>
    </w:p>
  </w:footnote>
  <w:footnote w:type="continuationSeparator" w:id="0">
    <w:p w:rsidR="00B53E56" w:rsidRDefault="00B53E56" w:rsidP="00FF0444">
      <w:pPr>
        <w:spacing w:after="0" w:line="240" w:lineRule="auto"/>
      </w:pPr>
      <w:r>
        <w:continuationSeparator/>
      </w:r>
    </w:p>
  </w:footnote>
  <w:footnote w:id="1">
    <w:p w:rsidR="00D434E3" w:rsidRPr="00C07743" w:rsidRDefault="00D434E3" w:rsidP="001C3F9B">
      <w:pPr>
        <w:pStyle w:val="FootnoteText"/>
        <w:jc w:val="both"/>
        <w:rPr>
          <w:rFonts w:asciiTheme="minorHAnsi" w:hAnsiTheme="minorHAnsi" w:cstheme="minorHAnsi"/>
          <w:sz w:val="18"/>
          <w:szCs w:val="18"/>
        </w:rPr>
      </w:pPr>
      <w:r w:rsidRPr="00C07743">
        <w:rPr>
          <w:rStyle w:val="FootnoteReference"/>
          <w:rFonts w:asciiTheme="minorHAnsi" w:hAnsiTheme="minorHAnsi" w:cstheme="minorHAnsi"/>
          <w:b/>
          <w:sz w:val="18"/>
          <w:szCs w:val="18"/>
        </w:rPr>
        <w:footnoteRef/>
      </w:r>
      <w:r w:rsidRPr="00C07743">
        <w:rPr>
          <w:rFonts w:asciiTheme="minorHAnsi" w:hAnsiTheme="minorHAnsi" w:cstheme="minorHAnsi"/>
          <w:b/>
          <w:sz w:val="18"/>
          <w:szCs w:val="18"/>
        </w:rPr>
        <w:t xml:space="preserve"> </w:t>
      </w:r>
      <w:r w:rsidR="00F0630D">
        <w:rPr>
          <w:rFonts w:asciiTheme="minorHAnsi" w:hAnsiTheme="minorHAnsi" w:cstheme="minorHAnsi"/>
          <w:b/>
          <w:sz w:val="18"/>
          <w:szCs w:val="18"/>
        </w:rPr>
        <w:t>“</w:t>
      </w:r>
      <w:r w:rsidRPr="00C07743">
        <w:rPr>
          <w:rFonts w:asciiTheme="minorHAnsi" w:hAnsiTheme="minorHAnsi" w:cstheme="minorHAnsi"/>
          <w:b/>
          <w:sz w:val="18"/>
          <w:szCs w:val="18"/>
        </w:rPr>
        <w:t>A Court of Record</w:t>
      </w:r>
      <w:r w:rsidRPr="00C07743">
        <w:rPr>
          <w:rFonts w:asciiTheme="minorHAnsi" w:hAnsiTheme="minorHAnsi" w:cstheme="minorHAnsi"/>
          <w:sz w:val="18"/>
          <w:szCs w:val="18"/>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w:t>
      </w:r>
      <w:r w:rsidR="00F0630D">
        <w:rPr>
          <w:rFonts w:asciiTheme="minorHAnsi" w:hAnsiTheme="minorHAnsi" w:cstheme="minorHAnsi"/>
          <w:sz w:val="18"/>
          <w:szCs w:val="18"/>
        </w:rPr>
        <w:t>.”</w:t>
      </w:r>
      <w:r w:rsidRPr="00C07743">
        <w:rPr>
          <w:rFonts w:asciiTheme="minorHAnsi" w:hAnsiTheme="minorHAnsi" w:cstheme="minorHAnsi"/>
          <w:sz w:val="18"/>
          <w:szCs w:val="18"/>
        </w:rPr>
        <w:t xml:space="preserve"> Jones v. Jones, 188 Mo.App. 220, 175 S.W. 227, 229; Ex parte Gladhill, 8 Metc. Mass., 171, per Shaw, C.J.</w:t>
      </w:r>
      <w:r w:rsidR="00F0630D">
        <w:rPr>
          <w:rFonts w:asciiTheme="minorHAnsi" w:hAnsiTheme="minorHAnsi" w:cstheme="minorHAnsi"/>
          <w:sz w:val="18"/>
          <w:szCs w:val="18"/>
        </w:rPr>
        <w:t xml:space="preserve"> </w:t>
      </w:r>
      <w:r w:rsidRPr="00C07743">
        <w:rPr>
          <w:rFonts w:asciiTheme="minorHAnsi" w:hAnsiTheme="minorHAnsi" w:cstheme="minorHAnsi"/>
          <w:sz w:val="18"/>
          <w:szCs w:val="18"/>
        </w:rPr>
        <w:t>See, also, Ledwith v. Rosalsky, 244 N.Y. 406, 155 N.E. 688, 689.</w:t>
      </w:r>
    </w:p>
  </w:footnote>
  <w:footnote w:id="2">
    <w:p w:rsidR="00303185" w:rsidRPr="00C07743" w:rsidRDefault="00303185" w:rsidP="001C3F9B">
      <w:pPr>
        <w:pStyle w:val="FootnoteText"/>
        <w:jc w:val="both"/>
        <w:rPr>
          <w:sz w:val="18"/>
          <w:szCs w:val="18"/>
        </w:rPr>
      </w:pPr>
      <w:r w:rsidRPr="00C07743">
        <w:rPr>
          <w:rStyle w:val="FootnoteReference"/>
          <w:sz w:val="18"/>
          <w:szCs w:val="18"/>
        </w:rPr>
        <w:footnoteRef/>
      </w:r>
      <w:r w:rsidRPr="00C07743">
        <w:rPr>
          <w:sz w:val="18"/>
          <w:szCs w:val="18"/>
        </w:rPr>
        <w:t xml:space="preserve"> An affidavit uncontested unrebutted unanswered stands as truth. - United States v. Kis, 658 F.2d 526, 536 (7th Cir. 1981); Cert. Denied, 50 U.S. L. W. 2169; S. Ct. March 22, 1982 1982</w:t>
      </w:r>
      <w:r w:rsidR="00240C1E" w:rsidRPr="00C07743">
        <w:rPr>
          <w:sz w:val="18"/>
          <w:szCs w:val="18"/>
        </w:rPr>
        <w:t>.</w:t>
      </w:r>
    </w:p>
  </w:footnote>
  <w:footnote w:id="3">
    <w:p w:rsidR="00B33951" w:rsidRPr="00C07743" w:rsidRDefault="00B33951" w:rsidP="001C3F9B">
      <w:pPr>
        <w:pStyle w:val="FootnoteText"/>
        <w:jc w:val="both"/>
        <w:rPr>
          <w:rFonts w:asciiTheme="minorHAnsi" w:hAnsiTheme="minorHAnsi" w:cstheme="minorHAnsi"/>
          <w:sz w:val="18"/>
          <w:szCs w:val="18"/>
        </w:rPr>
      </w:pPr>
      <w:r w:rsidRPr="00C07743">
        <w:rPr>
          <w:rStyle w:val="FootnoteReference"/>
          <w:rFonts w:asciiTheme="minorHAnsi" w:hAnsiTheme="minorHAnsi" w:cstheme="minorHAnsi"/>
          <w:b/>
          <w:sz w:val="18"/>
          <w:szCs w:val="18"/>
        </w:rPr>
        <w:footnoteRef/>
      </w:r>
      <w:r w:rsidRPr="00C07743">
        <w:rPr>
          <w:rFonts w:asciiTheme="minorHAnsi" w:hAnsiTheme="minorHAnsi" w:cstheme="minorHAnsi"/>
          <w:b/>
          <w:sz w:val="18"/>
          <w:szCs w:val="18"/>
        </w:rPr>
        <w:t xml:space="preserve"> PEOPLE:</w:t>
      </w:r>
      <w:r w:rsidRPr="00C07743">
        <w:rPr>
          <w:rFonts w:asciiTheme="minorHAnsi" w:hAnsiTheme="minorHAnsi" w:cstheme="minorHAnsi"/>
          <w:sz w:val="18"/>
          <w:szCs w:val="18"/>
        </w:rPr>
        <w:t xml:space="preserve"> People are supreme, not the state. [Waring vs. the Mayor of Savanah, 60 Georgiaat 93]; The state cannot diminish rights of the people. [Hertado v. California, 100 US 516]; Preamble to the US and NY Constitutions - We the people ... do ordain and establish this Constitution...; ...at the Revolution, the sovereignty devolved on the people; and they are truly the sovereigns of the country, but they are sovereigns without subjects...with none to govern but themselves... [CHISHOLM v. GEORGIA (US) 2 Dall 419, 454, 1 L Ed 440, 455, 2 DALL (1793) pp471-472]: The people of this State, as the successors of its former sovereign, are entitled to all the rights which formerly belonged to the King by his prerogative. [Lansing v. Smith, 4 Wend. 9 (N.Y.) (1829), 21 Am. Dec. 89 10C Const. Law Sec. 298; 18 C Em.Dom. Sec. 3, 228; 37 C Nav.Wat. Sec. 219; Nuls Sec. 167; 48 C Wharves Sec. 3, 7].</w:t>
      </w:r>
    </w:p>
  </w:footnote>
  <w:footnote w:id="4">
    <w:p w:rsidR="00B33951" w:rsidRPr="00C07743" w:rsidRDefault="00B33951" w:rsidP="001C3F9B">
      <w:pPr>
        <w:pStyle w:val="FootnoteText"/>
        <w:jc w:val="both"/>
        <w:rPr>
          <w:sz w:val="18"/>
          <w:szCs w:val="18"/>
        </w:rPr>
      </w:pPr>
      <w:r w:rsidRPr="00C07743">
        <w:rPr>
          <w:rStyle w:val="FootnoteReference"/>
          <w:b/>
          <w:sz w:val="18"/>
          <w:szCs w:val="18"/>
        </w:rPr>
        <w:footnoteRef/>
      </w:r>
      <w:r w:rsidRPr="00C07743">
        <w:rPr>
          <w:b/>
          <w:sz w:val="18"/>
          <w:szCs w:val="18"/>
        </w:rPr>
        <w:t xml:space="preserve"> A </w:t>
      </w:r>
      <w:r w:rsidRPr="00C07743">
        <w:rPr>
          <w:rFonts w:cs="Times New Roman"/>
          <w:b/>
          <w:sz w:val="18"/>
          <w:szCs w:val="18"/>
        </w:rPr>
        <w:t>Special Appearance</w:t>
      </w:r>
      <w:r w:rsidRPr="00C07743">
        <w:rPr>
          <w:rFonts w:cs="Times New Roman"/>
          <w:sz w:val="18"/>
          <w:szCs w:val="18"/>
        </w:rPr>
        <w:t xml:space="preserve"> is for the purpose of testing the sufficiency of service or the jurisdiction of the court; a general appearance is made where the defendant waives defects of service and submits to the jurisdiction. - State v. Huller, 23 N.M. 306, 168 P. 528, 534, 1 A.L.R. 170.</w:t>
      </w:r>
    </w:p>
  </w:footnote>
  <w:footnote w:id="5">
    <w:p w:rsidR="00E20E78" w:rsidRPr="00C07743" w:rsidRDefault="00E20E78" w:rsidP="001C3F9B">
      <w:pPr>
        <w:pStyle w:val="FootnoteText"/>
        <w:jc w:val="both"/>
        <w:rPr>
          <w:sz w:val="18"/>
          <w:szCs w:val="18"/>
        </w:rPr>
      </w:pPr>
      <w:r w:rsidRPr="00C07743">
        <w:rPr>
          <w:rStyle w:val="FootnoteReference"/>
          <w:sz w:val="18"/>
          <w:szCs w:val="18"/>
        </w:rPr>
        <w:footnoteRef/>
      </w:r>
      <w:r w:rsidRPr="00C07743">
        <w:rPr>
          <w:sz w:val="18"/>
          <w:szCs w:val="18"/>
        </w:rPr>
        <w:t xml:space="preserve"> </w:t>
      </w:r>
      <w:r w:rsidR="00F0630D">
        <w:rPr>
          <w:sz w:val="18"/>
          <w:szCs w:val="18"/>
        </w:rPr>
        <w:t>“</w:t>
      </w:r>
      <w:r w:rsidRPr="00C07743">
        <w:rPr>
          <w:sz w:val="18"/>
          <w:szCs w:val="18"/>
        </w:rPr>
        <w:t>Trial court acts without jurisdiction when it acts without inherent or common law authority, ...</w:t>
      </w:r>
      <w:r w:rsidR="00F0630D">
        <w:rPr>
          <w:sz w:val="18"/>
          <w:szCs w:val="18"/>
        </w:rPr>
        <w:t>”</w:t>
      </w:r>
      <w:r w:rsidRPr="00C07743">
        <w:rPr>
          <w:sz w:val="18"/>
          <w:szCs w:val="18"/>
        </w:rPr>
        <w:t xml:space="preserve"> State v. Rodriguez, 725 A.2d 635, 125 Md.App 428, cert den 731 A.2d 971,354 Md. 573 (1999)</w:t>
      </w:r>
      <w:r w:rsidR="00240C1E" w:rsidRPr="00C07743">
        <w:rPr>
          <w:sz w:val="18"/>
          <w:szCs w:val="18"/>
        </w:rPr>
        <w:t>.</w:t>
      </w:r>
    </w:p>
  </w:footnote>
  <w:footnote w:id="6">
    <w:p w:rsidR="001C3F9B" w:rsidRPr="00C07743" w:rsidRDefault="001C3F9B" w:rsidP="001C3F9B">
      <w:pPr>
        <w:pStyle w:val="FootnoteText"/>
        <w:jc w:val="both"/>
        <w:rPr>
          <w:sz w:val="18"/>
          <w:szCs w:val="18"/>
        </w:rPr>
      </w:pPr>
      <w:r w:rsidRPr="00C07743">
        <w:rPr>
          <w:rStyle w:val="FootnoteReference"/>
          <w:sz w:val="18"/>
          <w:szCs w:val="18"/>
        </w:rPr>
        <w:footnoteRef/>
      </w:r>
      <w:r w:rsidRPr="00C07743">
        <w:rPr>
          <w:sz w:val="18"/>
          <w:szCs w:val="18"/>
        </w:rPr>
        <w:t xml:space="preserve"> </w:t>
      </w:r>
      <w:r w:rsidRPr="00C07743">
        <w:rPr>
          <w:rFonts w:cs="Times New Roman"/>
          <w:sz w:val="18"/>
          <w:szCs w:val="18"/>
        </w:rPr>
        <w:t>County, State, or Federal Court</w:t>
      </w:r>
    </w:p>
  </w:footnote>
  <w:footnote w:id="7">
    <w:p w:rsidR="00B878AA" w:rsidRPr="00C07743" w:rsidRDefault="00B878AA" w:rsidP="001C3F9B">
      <w:pPr>
        <w:pStyle w:val="FootnoteText"/>
        <w:jc w:val="both"/>
        <w:rPr>
          <w:sz w:val="18"/>
          <w:szCs w:val="18"/>
        </w:rPr>
      </w:pPr>
      <w:r w:rsidRPr="00C07743">
        <w:rPr>
          <w:rStyle w:val="FootnoteReference"/>
          <w:sz w:val="18"/>
          <w:szCs w:val="18"/>
        </w:rPr>
        <w:footnoteRef/>
      </w:r>
      <w:r w:rsidRPr="00C07743">
        <w:rPr>
          <w:sz w:val="18"/>
          <w:szCs w:val="18"/>
        </w:rPr>
        <w:t xml:space="preserve"> </w:t>
      </w:r>
      <w:r w:rsidRPr="00C07743">
        <w:rPr>
          <w:rFonts w:cs="Times New Roman"/>
          <w:sz w:val="18"/>
          <w:szCs w:val="18"/>
        </w:rPr>
        <w:t>Basso v. UPL, 495 F. 2d 906; Brook v. Yawkey, 200 F. 2d 633; Elliot v. Piersol, 1 Pet. 328, 340, 26 U.S. 328, 340 (1828).</w:t>
      </w:r>
    </w:p>
  </w:footnote>
  <w:footnote w:id="8">
    <w:p w:rsidR="00C63EF2" w:rsidRPr="00C07743" w:rsidRDefault="00C63EF2" w:rsidP="001C3F9B">
      <w:pPr>
        <w:pStyle w:val="FootnoteText"/>
        <w:jc w:val="both"/>
        <w:rPr>
          <w:rFonts w:asciiTheme="minorHAnsi" w:hAnsiTheme="minorHAnsi" w:cstheme="minorHAnsi"/>
          <w:sz w:val="18"/>
          <w:szCs w:val="18"/>
        </w:rPr>
      </w:pPr>
      <w:r w:rsidRPr="00C07743">
        <w:rPr>
          <w:rStyle w:val="FootnoteReference"/>
          <w:rFonts w:asciiTheme="minorHAnsi" w:hAnsiTheme="minorHAnsi" w:cstheme="minorHAnsi"/>
          <w:b/>
          <w:sz w:val="18"/>
          <w:szCs w:val="18"/>
        </w:rPr>
        <w:footnoteRef/>
      </w:r>
      <w:r w:rsidRPr="00C07743">
        <w:rPr>
          <w:rFonts w:asciiTheme="minorHAnsi" w:hAnsiTheme="minorHAnsi" w:cstheme="minorHAnsi"/>
          <w:b/>
          <w:sz w:val="18"/>
          <w:szCs w:val="18"/>
        </w:rPr>
        <w:t xml:space="preserve"> COURTS OF RECORD and COURTS NOT OF RECORD –</w:t>
      </w:r>
      <w:r w:rsidRPr="00C07743">
        <w:rPr>
          <w:rFonts w:asciiTheme="minorHAnsi" w:hAnsiTheme="minorHAnsi" w:cstheme="minorHAnsi"/>
          <w:sz w:val="18"/>
          <w:szCs w:val="18"/>
        </w:rPr>
        <w:t xml:space="preserve"> The former being those whose acts and judicial proceedings are enrolled, or recorded, for a perpetual memory and testimony, and which have power to fine or imprison for contempt.</w:t>
      </w:r>
      <w:r w:rsidR="00F0630D">
        <w:rPr>
          <w:rFonts w:asciiTheme="minorHAnsi" w:hAnsiTheme="minorHAnsi" w:cstheme="minorHAnsi"/>
          <w:sz w:val="18"/>
          <w:szCs w:val="18"/>
        </w:rPr>
        <w:t xml:space="preserve"> </w:t>
      </w:r>
      <w:r w:rsidRPr="00C07743">
        <w:rPr>
          <w:rFonts w:asciiTheme="minorHAnsi" w:hAnsiTheme="minorHAnsi" w:cstheme="minorHAnsi"/>
          <w:sz w:val="18"/>
          <w:szCs w:val="18"/>
        </w:rPr>
        <w:t>Error lies to their judgments, and they generally possess a seal.</w:t>
      </w:r>
      <w:r w:rsidR="00F0630D">
        <w:rPr>
          <w:rFonts w:asciiTheme="minorHAnsi" w:hAnsiTheme="minorHAnsi" w:cstheme="minorHAnsi"/>
          <w:sz w:val="18"/>
          <w:szCs w:val="18"/>
        </w:rPr>
        <w:t xml:space="preserve"> </w:t>
      </w:r>
      <w:r w:rsidRPr="00C07743">
        <w:rPr>
          <w:rFonts w:asciiTheme="minorHAnsi" w:hAnsiTheme="minorHAnsi" w:cstheme="minorHAnsi"/>
          <w:sz w:val="18"/>
          <w:szCs w:val="18"/>
        </w:rPr>
        <w:t>Courts not of record are those of inferior dignity, which have no power to fine or imprison, and in which the proceedings are not enrolled or recorded.</w:t>
      </w:r>
      <w:r w:rsidR="00F0630D">
        <w:rPr>
          <w:rFonts w:asciiTheme="minorHAnsi" w:hAnsiTheme="minorHAnsi" w:cstheme="minorHAnsi"/>
          <w:sz w:val="18"/>
          <w:szCs w:val="18"/>
        </w:rPr>
        <w:t xml:space="preserve"> </w:t>
      </w:r>
      <w:r w:rsidRPr="00C07743">
        <w:rPr>
          <w:rFonts w:asciiTheme="minorHAnsi" w:hAnsiTheme="minorHAnsi" w:cstheme="minorHAnsi"/>
          <w:sz w:val="18"/>
          <w:szCs w:val="18"/>
        </w:rPr>
        <w:t>3 Bl. Comm. 24; 3 Steph. Comm. 383; The Thomas Fletcher, C.C.Ga., 24 F. 481; Ex parte Thistleton, 52 Cal 225; Erwin v. U.S., D.C.Ga., 37 F. 488, 2 L.R.A. 229; Heininger v. Davis, 96 Ohio St. 205, 117 N.E. 229, 231.</w:t>
      </w:r>
    </w:p>
  </w:footnote>
  <w:footnote w:id="9">
    <w:p w:rsidR="00B90D39" w:rsidRPr="00C07743" w:rsidRDefault="00B90D39" w:rsidP="001C3F9B">
      <w:pPr>
        <w:pStyle w:val="FootnoteText"/>
        <w:jc w:val="both"/>
        <w:rPr>
          <w:rFonts w:cs="Times New Roman"/>
          <w:sz w:val="18"/>
          <w:szCs w:val="18"/>
        </w:rPr>
      </w:pPr>
      <w:r w:rsidRPr="00C07743">
        <w:rPr>
          <w:rStyle w:val="FootnoteReference"/>
          <w:rFonts w:cs="Times New Roman"/>
          <w:b/>
          <w:sz w:val="18"/>
          <w:szCs w:val="18"/>
        </w:rPr>
        <w:footnoteRef/>
      </w:r>
      <w:r w:rsidRPr="00C07743">
        <w:rPr>
          <w:rFonts w:cs="Times New Roman"/>
          <w:b/>
          <w:sz w:val="18"/>
          <w:szCs w:val="18"/>
        </w:rPr>
        <w:t xml:space="preserve"> 18 USC 241: </w:t>
      </w:r>
      <w:r w:rsidRPr="00C07743">
        <w:rPr>
          <w:rFonts w:cs="Times New Roman"/>
          <w:sz w:val="18"/>
          <w:szCs w:val="18"/>
        </w:rPr>
        <w:t>If two or more persons conspire to injure, oppress, threaten, or intimidate any person in any State, Territory, Commonwealth, Possession, or District in the free exercise or enjoyment of any right or privilege secured to him by the Constitution or laws of the United States, or because of his having so exercised the same; or If two or more persons go in disguise on the highway, or on the premises of another, with intent to prevent or hinder his free exercise or enjoyment of any right or privilege so secured</w:t>
      </w:r>
      <w:r w:rsidR="00F0630D">
        <w:rPr>
          <w:rFonts w:cs="Times New Roman"/>
          <w:sz w:val="18"/>
          <w:szCs w:val="18"/>
        </w:rPr>
        <w:t xml:space="preserve"> </w:t>
      </w:r>
      <w:r w:rsidRPr="00C07743">
        <w:rPr>
          <w:rFonts w:cs="Times New Roman"/>
          <w:sz w:val="18"/>
          <w:szCs w:val="18"/>
        </w:rPr>
        <w:t>They shall be fined under this title or imprisoned not more than ten years, or both; and if death results from the acts committed in violation of this section or if such acts include kidnapping or an attempt to kidnap, aggravated sexual abuse or an attempt to commit aggravated sexual abuse, or an attempt to kill, they shall be fined under this title or imprisoned for any term of years or for life, or both, or may be sentenced to death.</w:t>
      </w:r>
    </w:p>
  </w:footnote>
  <w:footnote w:id="10">
    <w:p w:rsidR="00B90D39" w:rsidRPr="00C07743" w:rsidRDefault="00B90D39" w:rsidP="001C3F9B">
      <w:pPr>
        <w:pStyle w:val="FootnoteText"/>
        <w:jc w:val="both"/>
        <w:rPr>
          <w:rFonts w:cs="Times New Roman"/>
          <w:sz w:val="18"/>
          <w:szCs w:val="18"/>
        </w:rPr>
      </w:pPr>
      <w:r w:rsidRPr="00C07743">
        <w:rPr>
          <w:rStyle w:val="FootnoteReference"/>
          <w:rFonts w:cs="Times New Roman"/>
          <w:b/>
          <w:sz w:val="18"/>
          <w:szCs w:val="18"/>
        </w:rPr>
        <w:footnoteRef/>
      </w:r>
      <w:r w:rsidRPr="00C07743">
        <w:rPr>
          <w:rFonts w:cs="Times New Roman"/>
          <w:b/>
          <w:sz w:val="18"/>
          <w:szCs w:val="18"/>
        </w:rPr>
        <w:t xml:space="preserve"> NISI PRIUS:</w:t>
      </w:r>
      <w:r w:rsidRPr="00C07743">
        <w:rPr>
          <w:rFonts w:cs="Times New Roman"/>
          <w:sz w:val="18"/>
          <w:szCs w:val="18"/>
        </w:rPr>
        <w:t xml:space="preserve"> is a Latin term (Bouvier's Law) Where courts bearing this name exist in the United States, they are instituted by statutory provision.; Black's 5th </w:t>
      </w:r>
      <w:r w:rsidR="00F0630D">
        <w:rPr>
          <w:rFonts w:cs="Times New Roman"/>
          <w:sz w:val="18"/>
          <w:szCs w:val="18"/>
        </w:rPr>
        <w:t>“</w:t>
      </w:r>
      <w:r w:rsidRPr="00C07743">
        <w:rPr>
          <w:rFonts w:cs="Times New Roman"/>
          <w:sz w:val="18"/>
          <w:szCs w:val="18"/>
        </w:rPr>
        <w:t>Prius</w:t>
      </w:r>
      <w:r w:rsidR="00F0630D">
        <w:rPr>
          <w:rFonts w:cs="Times New Roman"/>
          <w:sz w:val="18"/>
          <w:szCs w:val="18"/>
        </w:rPr>
        <w:t>”</w:t>
      </w:r>
      <w:r w:rsidRPr="00C07743">
        <w:rPr>
          <w:rFonts w:cs="Times New Roman"/>
          <w:sz w:val="18"/>
          <w:szCs w:val="18"/>
        </w:rPr>
        <w:t xml:space="preserve"> means </w:t>
      </w:r>
      <w:r w:rsidR="00F0630D">
        <w:rPr>
          <w:rFonts w:cs="Times New Roman"/>
          <w:sz w:val="18"/>
          <w:szCs w:val="18"/>
        </w:rPr>
        <w:t>“</w:t>
      </w:r>
      <w:r w:rsidRPr="00C07743">
        <w:rPr>
          <w:rFonts w:cs="Times New Roman"/>
          <w:sz w:val="18"/>
          <w:szCs w:val="18"/>
        </w:rPr>
        <w:t>first.</w:t>
      </w:r>
      <w:r w:rsidR="00F0630D">
        <w:rPr>
          <w:rFonts w:cs="Times New Roman"/>
          <w:sz w:val="18"/>
          <w:szCs w:val="18"/>
        </w:rPr>
        <w:t>”</w:t>
      </w:r>
      <w:r w:rsidRPr="00C07743">
        <w:rPr>
          <w:rFonts w:cs="Times New Roman"/>
          <w:sz w:val="18"/>
          <w:szCs w:val="18"/>
        </w:rPr>
        <w:t xml:space="preserve"> </w:t>
      </w:r>
      <w:r w:rsidR="00F0630D">
        <w:rPr>
          <w:rFonts w:cs="Times New Roman"/>
          <w:sz w:val="18"/>
          <w:szCs w:val="18"/>
        </w:rPr>
        <w:t>“</w:t>
      </w:r>
      <w:r w:rsidRPr="00C07743">
        <w:rPr>
          <w:rFonts w:cs="Times New Roman"/>
          <w:sz w:val="18"/>
          <w:szCs w:val="18"/>
        </w:rPr>
        <w:t>Nisi</w:t>
      </w:r>
      <w:r w:rsidR="00F0630D">
        <w:rPr>
          <w:rFonts w:cs="Times New Roman"/>
          <w:sz w:val="18"/>
          <w:szCs w:val="18"/>
        </w:rPr>
        <w:t>”</w:t>
      </w:r>
      <w:r w:rsidRPr="00C07743">
        <w:rPr>
          <w:rFonts w:cs="Times New Roman"/>
          <w:sz w:val="18"/>
          <w:szCs w:val="18"/>
        </w:rPr>
        <w:t xml:space="preserve"> means </w:t>
      </w:r>
      <w:r w:rsidR="00F0630D">
        <w:rPr>
          <w:rFonts w:cs="Times New Roman"/>
          <w:sz w:val="18"/>
          <w:szCs w:val="18"/>
        </w:rPr>
        <w:t>“</w:t>
      </w:r>
      <w:r w:rsidRPr="00C07743">
        <w:rPr>
          <w:rFonts w:cs="Times New Roman"/>
          <w:sz w:val="18"/>
          <w:szCs w:val="18"/>
        </w:rPr>
        <w:t>unless.</w:t>
      </w:r>
      <w:r w:rsidR="00F0630D">
        <w:rPr>
          <w:rFonts w:cs="Times New Roman"/>
          <w:sz w:val="18"/>
          <w:szCs w:val="18"/>
        </w:rPr>
        <w:t>”</w:t>
      </w:r>
      <w:r w:rsidRPr="00C07743">
        <w:rPr>
          <w:rFonts w:cs="Times New Roman"/>
          <w:sz w:val="18"/>
          <w:szCs w:val="18"/>
        </w:rPr>
        <w:t xml:space="preserve"> A </w:t>
      </w:r>
      <w:r w:rsidR="00F0630D">
        <w:rPr>
          <w:rFonts w:cs="Times New Roman"/>
          <w:sz w:val="18"/>
          <w:szCs w:val="18"/>
        </w:rPr>
        <w:t>“</w:t>
      </w:r>
      <w:r w:rsidRPr="00C07743">
        <w:rPr>
          <w:rFonts w:cs="Times New Roman"/>
          <w:sz w:val="18"/>
          <w:szCs w:val="18"/>
        </w:rPr>
        <w:t>nisi prius</w:t>
      </w:r>
      <w:r w:rsidR="00F0630D">
        <w:rPr>
          <w:rFonts w:cs="Times New Roman"/>
          <w:sz w:val="18"/>
          <w:szCs w:val="18"/>
        </w:rPr>
        <w:t>”</w:t>
      </w:r>
      <w:r w:rsidRPr="00C07743">
        <w:rPr>
          <w:rFonts w:cs="Times New Roman"/>
          <w:sz w:val="18"/>
          <w:szCs w:val="18"/>
        </w:rPr>
        <w:t xml:space="preserve"> procedure is a procedure to which a party FIRST agrees UNLESS he objects.; Blacks 4th - A rule of procedure in courts is that if a party fails to object to something, then it means he agrees to it. A nisi procedure is a procedure to which a person has failed to object A </w:t>
      </w:r>
      <w:r w:rsidR="00F0630D">
        <w:rPr>
          <w:rFonts w:cs="Times New Roman"/>
          <w:sz w:val="18"/>
          <w:szCs w:val="18"/>
        </w:rPr>
        <w:t>“</w:t>
      </w:r>
      <w:r w:rsidRPr="00C07743">
        <w:rPr>
          <w:rFonts w:cs="Times New Roman"/>
          <w:sz w:val="18"/>
          <w:szCs w:val="18"/>
        </w:rPr>
        <w:t>nisi prius court</w:t>
      </w:r>
      <w:r w:rsidR="00F0630D">
        <w:rPr>
          <w:rFonts w:cs="Times New Roman"/>
          <w:sz w:val="18"/>
          <w:szCs w:val="18"/>
        </w:rPr>
        <w:t>”</w:t>
      </w:r>
      <w:r w:rsidRPr="00C07743">
        <w:rPr>
          <w:rFonts w:cs="Times New Roman"/>
          <w:sz w:val="18"/>
          <w:szCs w:val="18"/>
        </w:rPr>
        <w:t xml:space="preserve"> is a court which will proceed unless a party objects. The agreement to proceed is obtained from the parties first.</w:t>
      </w:r>
    </w:p>
  </w:footnote>
  <w:footnote w:id="11">
    <w:p w:rsidR="00B90D39" w:rsidRPr="00C07743" w:rsidRDefault="00B90D39" w:rsidP="001C3F9B">
      <w:pPr>
        <w:pStyle w:val="FootnoteText"/>
        <w:jc w:val="both"/>
        <w:rPr>
          <w:rFonts w:cs="Times New Roman"/>
          <w:sz w:val="18"/>
          <w:szCs w:val="18"/>
        </w:rPr>
      </w:pPr>
      <w:r w:rsidRPr="00C07743">
        <w:rPr>
          <w:rStyle w:val="FootnoteReference"/>
          <w:rFonts w:cs="Times New Roman"/>
          <w:b/>
          <w:sz w:val="18"/>
          <w:szCs w:val="18"/>
        </w:rPr>
        <w:footnoteRef/>
      </w:r>
      <w:r w:rsidRPr="00C07743">
        <w:rPr>
          <w:rFonts w:cs="Times New Roman"/>
          <w:b/>
          <w:sz w:val="18"/>
          <w:szCs w:val="18"/>
        </w:rPr>
        <w:t xml:space="preserve"> DE FACTO: </w:t>
      </w:r>
      <w:r w:rsidRPr="00C07743">
        <w:rPr>
          <w:rFonts w:cs="Times New Roman"/>
          <w:sz w:val="18"/>
          <w:szCs w:val="18"/>
        </w:rPr>
        <w:t>In fact, in deed, actually. This phrase is used to characterize an officer, a government, a past action, or a state of affairs which must be accepted for all practical purposes, but is illegal or illegitimate. In this sense it is the contrary of de jure, which means rightful, legitimate, just, or constitutional. Thus, an officer, king, or government de facto is one who is in actual possession of the office or supreme power, but by usurpation, or without lawful title; while an officer, king, or governor de jure is one who has just claim and rightful title to the office or power, but has never had plenary possession of it, or is not in actual possession. 4 Bl.Comm. 77, 78. MacLeod v. United States, 229 U.S. 416, 33 S.Ct. 955, 57 L.Ed. 1260; Wheatley v. Consolidated Lumber Co., 167 Cal. 441, 139 P. 1057, 1059.</w:t>
      </w:r>
    </w:p>
  </w:footnote>
  <w:footnote w:id="12">
    <w:p w:rsidR="00B90D39" w:rsidRPr="00C07743" w:rsidRDefault="00B90D39" w:rsidP="001C3F9B">
      <w:pPr>
        <w:pStyle w:val="FootnoteText"/>
        <w:jc w:val="both"/>
        <w:rPr>
          <w:rFonts w:cs="Times New Roman"/>
          <w:sz w:val="18"/>
          <w:szCs w:val="18"/>
        </w:rPr>
      </w:pPr>
      <w:r w:rsidRPr="00C07743">
        <w:rPr>
          <w:rStyle w:val="FootnoteReference"/>
          <w:rFonts w:cs="Times New Roman"/>
          <w:b/>
          <w:sz w:val="18"/>
          <w:szCs w:val="18"/>
        </w:rPr>
        <w:footnoteRef/>
      </w:r>
      <w:r w:rsidRPr="00C07743">
        <w:rPr>
          <w:rFonts w:cs="Times New Roman"/>
          <w:b/>
          <w:sz w:val="18"/>
          <w:szCs w:val="18"/>
        </w:rPr>
        <w:t xml:space="preserve"> QUASI:</w:t>
      </w:r>
      <w:r w:rsidRPr="00C07743">
        <w:rPr>
          <w:rFonts w:cs="Times New Roman"/>
          <w:sz w:val="18"/>
          <w:szCs w:val="18"/>
        </w:rPr>
        <w:t xml:space="preserve"> Lat. As if; almost as it were; analogous to. This term is used in legal phraseology to indicate that one subject resembles another, with which it is compared, in certain characteristics, but that there are intrinsic and material differences between them. Bicknell v. ,Garrett, 1 Wash.2d 564, 96 P.2d 592, 595, 126 A.L.R. 258; Cannon v. Miller, 22 Wash.2d 227, 155 P.2d 500, 503, 507, 157 A.L.R. 530. Marker v. State, 25 Ala.App. 91, 142 So. 105, 106. It is often prefixed to English words, implying mere appearance or want of reality. State v. Jeffrey, 188 Minn. 476, 247 N.W. 692, 693.</w:t>
      </w:r>
    </w:p>
  </w:footnote>
  <w:footnote w:id="13">
    <w:p w:rsidR="00B90D39" w:rsidRPr="00C07743" w:rsidRDefault="00B90D39" w:rsidP="001C3F9B">
      <w:pPr>
        <w:pStyle w:val="FootnoteText"/>
        <w:jc w:val="both"/>
        <w:rPr>
          <w:rFonts w:cs="Times New Roman"/>
          <w:sz w:val="18"/>
          <w:szCs w:val="18"/>
        </w:rPr>
      </w:pPr>
      <w:r w:rsidRPr="00C07743">
        <w:rPr>
          <w:rStyle w:val="FootnoteReference"/>
          <w:rFonts w:cs="Times New Roman"/>
          <w:sz w:val="18"/>
          <w:szCs w:val="18"/>
        </w:rPr>
        <w:footnoteRef/>
      </w:r>
      <w:r w:rsidRPr="00C07743">
        <w:rPr>
          <w:rFonts w:cs="Times New Roman"/>
          <w:sz w:val="18"/>
          <w:szCs w:val="18"/>
        </w:rPr>
        <w:t xml:space="preserve"> AT LAW. [Bouvier's] This phrase is used to point out that a thing is to be done according to the course of the common law; it is distinguished from a proceeding in equity.; ALL CASES AT LAW. [Black's Law 4th] Within constitutional guaranty of jury trial, refers to common law ac-tions as distinguished from causes in equity and certain other proceedings. Breimhorst v. Beck-man, 227 Minn. 409, 35 N.W.2d 719, 734. According to law; by, for, or in law; particularly in distinction from that which is done in or according to equity; or in titles such as sergeant at law, barrister at law, attorney or counsellor at law. Hooker v. Nichols, 116 N.C. 157, 21 S.E. 208.</w:t>
      </w:r>
    </w:p>
  </w:footnote>
  <w:footnote w:id="14">
    <w:p w:rsidR="00B90D39" w:rsidRPr="00C07743" w:rsidRDefault="00B90D39" w:rsidP="001C3F9B">
      <w:pPr>
        <w:pStyle w:val="FootnoteText"/>
        <w:jc w:val="both"/>
        <w:rPr>
          <w:rFonts w:cs="Times New Roman"/>
          <w:sz w:val="18"/>
          <w:szCs w:val="18"/>
        </w:rPr>
      </w:pPr>
      <w:r w:rsidRPr="00C07743">
        <w:rPr>
          <w:rStyle w:val="FootnoteReference"/>
          <w:rFonts w:cs="Times New Roman"/>
          <w:b/>
          <w:sz w:val="18"/>
          <w:szCs w:val="18"/>
        </w:rPr>
        <w:footnoteRef/>
      </w:r>
      <w:r w:rsidRPr="00C07743">
        <w:rPr>
          <w:rFonts w:cs="Times New Roman"/>
          <w:sz w:val="18"/>
          <w:szCs w:val="18"/>
        </w:rPr>
        <w:t xml:space="preserve"> </w:t>
      </w:r>
      <w:r w:rsidRPr="00C07743">
        <w:rPr>
          <w:rFonts w:cs="Times New Roman"/>
          <w:b/>
          <w:sz w:val="18"/>
          <w:szCs w:val="18"/>
        </w:rPr>
        <w:t xml:space="preserve">18 USC 242 </w:t>
      </w:r>
      <w:r w:rsidRPr="00C07743">
        <w:rPr>
          <w:rFonts w:cs="Times New Roman"/>
          <w:sz w:val="18"/>
          <w:szCs w:val="18"/>
        </w:rPr>
        <w:t>Whoever, under color of any law, statute, ordinance, regulation, or custom, willfully subjects any person in any State, Territory, Commonwealth, Possession, or District to the deprivation of any rights, privileges, or immunities secured or protected by the Constitution or laws of the United States, or to different punishments, pains, or penalties, on account of such person being an alien, or by reason of his color, or race, than are prescribed for the punishment of citizens, shall be fined under this title or imprisoned not more than one year, or both; and if bodily injury results from the acts committed in violation of this section or if such acts include the use, attempted use, or threatened use of a dangerous weapon, explosives, or fire, shall be fined under this title or imprisoned not more than ten years, or both; and if death results from the acts committed in violation of this section or if such acts include kidnapping or an attempt to kidnap, aggravated sexual abuse, or an attempt to commit aggravated sexual abuse, or an attempt to kill, shall be fined under this title, or imprisoned for any term of years or for life, or both, or may be sentenced to death.</w:t>
      </w:r>
    </w:p>
  </w:footnote>
  <w:footnote w:id="15">
    <w:p w:rsidR="00B90D39" w:rsidRPr="00C07743" w:rsidRDefault="00B90D39" w:rsidP="001C3F9B">
      <w:pPr>
        <w:pStyle w:val="FootnoteText"/>
        <w:jc w:val="both"/>
        <w:rPr>
          <w:rFonts w:cs="Times New Roman"/>
          <w:sz w:val="18"/>
          <w:szCs w:val="18"/>
        </w:rPr>
      </w:pPr>
      <w:r w:rsidRPr="00C07743">
        <w:rPr>
          <w:rStyle w:val="FootnoteReference"/>
          <w:rFonts w:cs="Times New Roman"/>
          <w:b/>
          <w:sz w:val="18"/>
          <w:szCs w:val="18"/>
        </w:rPr>
        <w:footnoteRef/>
      </w:r>
      <w:r w:rsidRPr="00C07743">
        <w:rPr>
          <w:rFonts w:cs="Times New Roman"/>
          <w:b/>
          <w:sz w:val="18"/>
          <w:szCs w:val="18"/>
        </w:rPr>
        <w:t xml:space="preserve"> 42 USC 1983 </w:t>
      </w:r>
      <w:r w:rsidRPr="00C07743">
        <w:rPr>
          <w:rFonts w:cs="Times New Roman"/>
          <w:sz w:val="18"/>
          <w:szCs w:val="18"/>
        </w:rPr>
        <w:t>Every person who, under color of any statute, ordinance, regulation, custom, or usage, of any State or Territory or the District of Columbia, subjects, or causes to be subjected, any citizen of the United States or other person within the jurisdiction thereof to the deprivation of any rights, privileges, or immunities secured by the Constitution and laws, shall be liable to the party injured in an action at law, suit in equity, or other proper proceeding for redress,…</w:t>
      </w:r>
    </w:p>
  </w:footnote>
  <w:footnote w:id="16">
    <w:p w:rsidR="0071712E" w:rsidRPr="00C07743" w:rsidRDefault="0071712E" w:rsidP="001C3F9B">
      <w:pPr>
        <w:pStyle w:val="FootnoteText"/>
        <w:jc w:val="both"/>
        <w:rPr>
          <w:sz w:val="18"/>
          <w:szCs w:val="18"/>
        </w:rPr>
      </w:pPr>
      <w:r w:rsidRPr="00C07743">
        <w:rPr>
          <w:rStyle w:val="FootnoteReference"/>
          <w:sz w:val="18"/>
          <w:szCs w:val="18"/>
        </w:rPr>
        <w:footnoteRef/>
      </w:r>
      <w:r w:rsidRPr="00C07743">
        <w:rPr>
          <w:sz w:val="18"/>
          <w:szCs w:val="18"/>
        </w:rPr>
        <w:t xml:space="preserve"> </w:t>
      </w:r>
      <w:r w:rsidRPr="00C07743">
        <w:rPr>
          <w:rFonts w:asciiTheme="minorHAnsi" w:hAnsiTheme="minorHAnsi" w:cstheme="minorHAnsi"/>
          <w:sz w:val="18"/>
          <w:szCs w:val="18"/>
        </w:rPr>
        <w:t xml:space="preserve">People v. Giusti, 673 N.Y.S.2d 824, 176 Misc.2d 377 (1998) </w:t>
      </w:r>
      <w:r w:rsidR="00F0630D">
        <w:rPr>
          <w:rFonts w:asciiTheme="minorHAnsi" w:hAnsiTheme="minorHAnsi" w:cstheme="minorHAnsi"/>
          <w:sz w:val="18"/>
          <w:szCs w:val="18"/>
        </w:rPr>
        <w:t>“</w:t>
      </w:r>
      <w:r w:rsidRPr="00C07743">
        <w:rPr>
          <w:rFonts w:asciiTheme="minorHAnsi" w:hAnsiTheme="minorHAnsi" w:cstheme="minorHAnsi"/>
          <w:sz w:val="18"/>
          <w:szCs w:val="18"/>
        </w:rPr>
        <w:t>No valid conviction can occur if the charging instrument is void.</w:t>
      </w:r>
      <w:r w:rsidR="00F0630D">
        <w:rPr>
          <w:rFonts w:asciiTheme="minorHAnsi" w:hAnsiTheme="minorHAnsi" w:cstheme="minorHAnsi"/>
          <w:sz w:val="18"/>
          <w:szCs w:val="18"/>
        </w:rPr>
        <w:t>”</w:t>
      </w:r>
      <w:r w:rsidRPr="00C07743">
        <w:rPr>
          <w:rFonts w:asciiTheme="minorHAnsi" w:hAnsiTheme="minorHAnsi" w:cstheme="minorHAnsi"/>
          <w:sz w:val="18"/>
          <w:szCs w:val="18"/>
        </w:rPr>
        <w:t xml:space="preserve"> State v. Wilson, 6 S.W.3d 504 (1998)</w:t>
      </w:r>
    </w:p>
  </w:footnote>
  <w:footnote w:id="17">
    <w:p w:rsidR="0071712E" w:rsidRPr="00C07743" w:rsidRDefault="0071712E" w:rsidP="001C3F9B">
      <w:pPr>
        <w:pStyle w:val="FootnoteText"/>
        <w:jc w:val="both"/>
        <w:rPr>
          <w:sz w:val="18"/>
          <w:szCs w:val="18"/>
        </w:rPr>
      </w:pPr>
      <w:r w:rsidRPr="00C07743">
        <w:rPr>
          <w:rStyle w:val="FootnoteReference"/>
          <w:sz w:val="18"/>
          <w:szCs w:val="18"/>
        </w:rPr>
        <w:footnoteRef/>
      </w:r>
      <w:r w:rsidRPr="00C07743">
        <w:rPr>
          <w:sz w:val="18"/>
          <w:szCs w:val="18"/>
        </w:rPr>
        <w:t xml:space="preserve"> </w:t>
      </w:r>
      <w:r w:rsidRPr="00C07743">
        <w:rPr>
          <w:rFonts w:asciiTheme="minorHAnsi" w:hAnsiTheme="minorHAnsi" w:cstheme="minorHAnsi"/>
          <w:sz w:val="18"/>
          <w:szCs w:val="18"/>
        </w:rPr>
        <w:t>State v. Rodriguez, 725 A.2d 635, 125 Md.App 428, cert den 731 A.2d 971,354 Md. 573 (1999)</w:t>
      </w:r>
    </w:p>
  </w:footnote>
  <w:footnote w:id="18">
    <w:p w:rsidR="0071712E" w:rsidRPr="00C07743" w:rsidRDefault="0071712E" w:rsidP="001C3F9B">
      <w:pPr>
        <w:pStyle w:val="FootnoteText"/>
        <w:jc w:val="both"/>
        <w:rPr>
          <w:sz w:val="18"/>
          <w:szCs w:val="18"/>
        </w:rPr>
      </w:pPr>
      <w:r w:rsidRPr="00C07743">
        <w:rPr>
          <w:rStyle w:val="FootnoteReference"/>
          <w:sz w:val="18"/>
          <w:szCs w:val="18"/>
        </w:rPr>
        <w:footnoteRef/>
      </w:r>
      <w:r w:rsidRPr="00C07743">
        <w:rPr>
          <w:sz w:val="18"/>
          <w:szCs w:val="18"/>
        </w:rPr>
        <w:t xml:space="preserve"> Ex parte Watkins, 3 Pet., at 202-203. cited by SCHNECKLOTH v. BUSTAMONTE, 412 U.S. 218, 255 (1973).</w:t>
      </w:r>
    </w:p>
  </w:footnote>
  <w:footnote w:id="19">
    <w:p w:rsidR="003B2E03" w:rsidRPr="00C07743" w:rsidRDefault="003B2E03" w:rsidP="001C3F9B">
      <w:pPr>
        <w:pStyle w:val="FootnoteText"/>
        <w:jc w:val="both"/>
        <w:rPr>
          <w:rFonts w:cs="Times New Roman"/>
          <w:sz w:val="18"/>
          <w:szCs w:val="18"/>
        </w:rPr>
      </w:pPr>
      <w:r w:rsidRPr="00C07743">
        <w:rPr>
          <w:rStyle w:val="FootnoteReference"/>
          <w:rFonts w:cs="Times New Roman"/>
          <w:b/>
          <w:sz w:val="18"/>
          <w:szCs w:val="18"/>
        </w:rPr>
        <w:footnoteRef/>
      </w:r>
      <w:r w:rsidRPr="00C07743">
        <w:rPr>
          <w:rFonts w:cs="Times New Roman"/>
          <w:sz w:val="18"/>
          <w:szCs w:val="18"/>
        </w:rPr>
        <w:t xml:space="preserve"> </w:t>
      </w:r>
      <w:r w:rsidR="00F0630D">
        <w:rPr>
          <w:rFonts w:cs="Times New Roman"/>
          <w:sz w:val="18"/>
          <w:szCs w:val="18"/>
        </w:rPr>
        <w:t>“</w:t>
      </w:r>
      <w:r w:rsidRPr="00C07743">
        <w:rPr>
          <w:rFonts w:cs="Times New Roman"/>
          <w:b/>
          <w:sz w:val="18"/>
          <w:szCs w:val="18"/>
          <w:u w:val="single"/>
        </w:rPr>
        <w:t>Law of the land</w:t>
      </w:r>
      <w:r w:rsidRPr="00C07743">
        <w:rPr>
          <w:rFonts w:cs="Times New Roman"/>
          <w:sz w:val="18"/>
          <w:szCs w:val="18"/>
        </w:rPr>
        <w:t>,</w:t>
      </w:r>
      <w:r w:rsidR="00F0630D">
        <w:rPr>
          <w:rFonts w:cs="Times New Roman"/>
          <w:sz w:val="18"/>
          <w:szCs w:val="18"/>
        </w:rPr>
        <w:t>”</w:t>
      </w:r>
      <w:r w:rsidRPr="00C07743">
        <w:rPr>
          <w:rFonts w:cs="Times New Roman"/>
          <w:sz w:val="18"/>
          <w:szCs w:val="18"/>
        </w:rPr>
        <w:t xml:space="preserve"> </w:t>
      </w:r>
      <w:r w:rsidR="00F0630D">
        <w:rPr>
          <w:rFonts w:cs="Times New Roman"/>
          <w:sz w:val="18"/>
          <w:szCs w:val="18"/>
        </w:rPr>
        <w:t>“</w:t>
      </w:r>
      <w:r w:rsidRPr="00C07743">
        <w:rPr>
          <w:rFonts w:cs="Times New Roman"/>
          <w:sz w:val="18"/>
          <w:szCs w:val="18"/>
        </w:rPr>
        <w:t>due course of law,</w:t>
      </w:r>
      <w:r w:rsidR="00F0630D">
        <w:rPr>
          <w:rFonts w:cs="Times New Roman"/>
          <w:sz w:val="18"/>
          <w:szCs w:val="18"/>
        </w:rPr>
        <w:t>”</w:t>
      </w:r>
      <w:r w:rsidRPr="00C07743">
        <w:rPr>
          <w:rFonts w:cs="Times New Roman"/>
          <w:sz w:val="18"/>
          <w:szCs w:val="18"/>
        </w:rPr>
        <w:t xml:space="preserve"> and </w:t>
      </w:r>
      <w:r w:rsidR="00F0630D">
        <w:rPr>
          <w:rFonts w:cs="Times New Roman"/>
          <w:sz w:val="18"/>
          <w:szCs w:val="18"/>
        </w:rPr>
        <w:t>“</w:t>
      </w:r>
      <w:r w:rsidRPr="00C07743">
        <w:rPr>
          <w:rFonts w:cs="Times New Roman"/>
          <w:sz w:val="18"/>
          <w:szCs w:val="18"/>
        </w:rPr>
        <w:t>due process of law</w:t>
      </w:r>
      <w:r w:rsidR="00F0630D">
        <w:rPr>
          <w:rFonts w:cs="Times New Roman"/>
          <w:sz w:val="18"/>
          <w:szCs w:val="18"/>
        </w:rPr>
        <w:t>”</w:t>
      </w:r>
      <w:r w:rsidRPr="00C07743">
        <w:rPr>
          <w:rFonts w:cs="Times New Roman"/>
          <w:sz w:val="18"/>
          <w:szCs w:val="18"/>
        </w:rPr>
        <w:t xml:space="preserve"> are synonymous. People v. Skinner, Cal., 110 P.2d 41, 45; State v. Rossi, 71 R.I. 284, 43 A.2d 323, 326; Direct Plumbing Supply Co. v. City of Dayton, 138 Ohio St. 540, 38 N.E.2d 70, 72, 137 A.L.R. 1058; Stoner v. Higginson, 316 Pa. 481, 175 A. 527, 531.</w:t>
      </w:r>
    </w:p>
  </w:footnote>
  <w:footnote w:id="20">
    <w:p w:rsidR="008A5B74" w:rsidRPr="00C07743" w:rsidRDefault="008A5B74" w:rsidP="001C3F9B">
      <w:pPr>
        <w:pStyle w:val="FootnoteText"/>
        <w:jc w:val="both"/>
        <w:rPr>
          <w:rFonts w:asciiTheme="minorHAnsi" w:hAnsiTheme="minorHAnsi" w:cstheme="minorHAnsi"/>
          <w:sz w:val="18"/>
          <w:szCs w:val="18"/>
        </w:rPr>
      </w:pPr>
      <w:r w:rsidRPr="00C07743">
        <w:rPr>
          <w:rStyle w:val="FootnoteReference"/>
          <w:rFonts w:asciiTheme="minorHAnsi" w:hAnsiTheme="minorHAnsi" w:cstheme="minorHAnsi"/>
          <w:sz w:val="18"/>
          <w:szCs w:val="18"/>
        </w:rPr>
        <w:footnoteRef/>
      </w:r>
      <w:r w:rsidRPr="00C07743">
        <w:rPr>
          <w:rFonts w:asciiTheme="minorHAnsi" w:hAnsiTheme="minorHAnsi" w:cstheme="minorHAnsi"/>
          <w:sz w:val="18"/>
          <w:szCs w:val="18"/>
        </w:rPr>
        <w:t xml:space="preserve"> </w:t>
      </w:r>
      <w:r w:rsidR="00F0630D">
        <w:rPr>
          <w:rFonts w:asciiTheme="minorHAnsi" w:hAnsiTheme="minorHAnsi" w:cstheme="minorHAnsi"/>
          <w:sz w:val="18"/>
          <w:szCs w:val="18"/>
        </w:rPr>
        <w:t>“</w:t>
      </w:r>
      <w:r w:rsidRPr="00C07743">
        <w:rPr>
          <w:rFonts w:asciiTheme="minorHAnsi" w:hAnsiTheme="minorHAnsi" w:cstheme="minorHAnsi"/>
          <w:i/>
          <w:sz w:val="18"/>
          <w:szCs w:val="18"/>
        </w:rPr>
        <w:t>Sovereignty itself is, of course, not subject to law, for it is the author and source of law</w:t>
      </w:r>
      <w:r w:rsidRPr="00C07743">
        <w:rPr>
          <w:rFonts w:asciiTheme="minorHAnsi" w:hAnsiTheme="minorHAnsi" w:cstheme="minorHAnsi"/>
          <w:sz w:val="18"/>
          <w:szCs w:val="18"/>
        </w:rPr>
        <w:t>;</w:t>
      </w:r>
      <w:r w:rsidR="00F0630D">
        <w:rPr>
          <w:rFonts w:asciiTheme="minorHAnsi" w:hAnsiTheme="minorHAnsi" w:cstheme="minorHAnsi"/>
          <w:sz w:val="18"/>
          <w:szCs w:val="18"/>
        </w:rPr>
        <w:t>”</w:t>
      </w:r>
      <w:r w:rsidRPr="00C07743">
        <w:rPr>
          <w:rFonts w:asciiTheme="minorHAnsi" w:hAnsiTheme="minorHAnsi" w:cstheme="minorHAnsi"/>
          <w:sz w:val="18"/>
          <w:szCs w:val="18"/>
        </w:rPr>
        <w:t xml:space="preserve"> -- Yick Wo v. Hopkins, 118 US 356, 370.</w:t>
      </w:r>
    </w:p>
  </w:footnote>
  <w:footnote w:id="21">
    <w:p w:rsidR="008A5B74" w:rsidRPr="00C07743" w:rsidRDefault="008A5B74" w:rsidP="001C3F9B">
      <w:pPr>
        <w:pStyle w:val="FootnoteText"/>
        <w:jc w:val="both"/>
        <w:rPr>
          <w:rFonts w:asciiTheme="minorHAnsi" w:hAnsiTheme="minorHAnsi" w:cstheme="minorHAnsi"/>
          <w:sz w:val="18"/>
          <w:szCs w:val="18"/>
        </w:rPr>
      </w:pPr>
      <w:r w:rsidRPr="00C07743">
        <w:rPr>
          <w:rStyle w:val="FootnoteReference"/>
          <w:rFonts w:asciiTheme="minorHAnsi" w:hAnsiTheme="minorHAnsi" w:cstheme="minorHAnsi"/>
          <w:sz w:val="18"/>
          <w:szCs w:val="18"/>
        </w:rPr>
        <w:footnoteRef/>
      </w:r>
      <w:r w:rsidRPr="00C07743">
        <w:rPr>
          <w:rFonts w:asciiTheme="minorHAnsi" w:hAnsiTheme="minorHAnsi" w:cstheme="minorHAnsi"/>
          <w:sz w:val="18"/>
          <w:szCs w:val="18"/>
        </w:rPr>
        <w:t xml:space="preserve"> That which is laid down, ordained, or established. Koenig v. Flynn, 258 N.Y. 292, 179 N. E. 705.</w:t>
      </w:r>
    </w:p>
  </w:footnote>
  <w:footnote w:id="22">
    <w:p w:rsidR="00191897" w:rsidRPr="00C07743" w:rsidRDefault="00191897" w:rsidP="001C3F9B">
      <w:pPr>
        <w:pStyle w:val="FootnoteText"/>
        <w:jc w:val="both"/>
        <w:rPr>
          <w:sz w:val="18"/>
          <w:szCs w:val="18"/>
        </w:rPr>
      </w:pPr>
      <w:r w:rsidRPr="00C07743">
        <w:rPr>
          <w:rStyle w:val="FootnoteReference"/>
          <w:sz w:val="18"/>
          <w:szCs w:val="18"/>
        </w:rPr>
        <w:footnoteRef/>
      </w:r>
      <w:r w:rsidRPr="00C07743">
        <w:rPr>
          <w:sz w:val="18"/>
          <w:szCs w:val="18"/>
        </w:rPr>
        <w:t xml:space="preserve"> </w:t>
      </w:r>
      <w:r w:rsidRPr="00C07743">
        <w:rPr>
          <w:rFonts w:cs="Times New Roman"/>
          <w:sz w:val="18"/>
          <w:szCs w:val="18"/>
        </w:rPr>
        <w:t>Stanard v. Olesen, 74 S. Ct.768.</w:t>
      </w:r>
    </w:p>
  </w:footnote>
  <w:footnote w:id="23">
    <w:p w:rsidR="00191897" w:rsidRPr="00C07743" w:rsidRDefault="00191897" w:rsidP="001C3F9B">
      <w:pPr>
        <w:pStyle w:val="FootnoteText"/>
        <w:jc w:val="both"/>
        <w:rPr>
          <w:sz w:val="18"/>
          <w:szCs w:val="18"/>
        </w:rPr>
      </w:pPr>
      <w:r w:rsidRPr="00C07743">
        <w:rPr>
          <w:rStyle w:val="FootnoteReference"/>
          <w:sz w:val="18"/>
          <w:szCs w:val="18"/>
        </w:rPr>
        <w:footnoteRef/>
      </w:r>
      <w:r w:rsidRPr="00C07743">
        <w:rPr>
          <w:sz w:val="18"/>
          <w:szCs w:val="18"/>
        </w:rPr>
        <w:t xml:space="preserve"> </w:t>
      </w:r>
      <w:r w:rsidRPr="00C07743">
        <w:rPr>
          <w:rFonts w:cs="Times New Roman"/>
          <w:sz w:val="18"/>
          <w:szCs w:val="18"/>
        </w:rPr>
        <w:t>Ableman v. Booth, 21 Howard 506 (1859)</w:t>
      </w:r>
    </w:p>
  </w:footnote>
  <w:footnote w:id="24">
    <w:p w:rsidR="003F67CD" w:rsidRPr="00C07743" w:rsidRDefault="003F67CD" w:rsidP="003F67CD">
      <w:pPr>
        <w:pStyle w:val="FootnoteText"/>
        <w:jc w:val="both"/>
        <w:rPr>
          <w:sz w:val="18"/>
          <w:szCs w:val="18"/>
        </w:rPr>
      </w:pPr>
      <w:r w:rsidRPr="00C07743">
        <w:rPr>
          <w:rStyle w:val="FootnoteReference"/>
          <w:sz w:val="18"/>
          <w:szCs w:val="18"/>
        </w:rPr>
        <w:footnoteRef/>
      </w:r>
      <w:r w:rsidRPr="00C07743">
        <w:rPr>
          <w:sz w:val="18"/>
          <w:szCs w:val="18"/>
        </w:rPr>
        <w:t xml:space="preserve"> </w:t>
      </w:r>
      <w:r w:rsidR="00F0630D">
        <w:rPr>
          <w:sz w:val="18"/>
          <w:szCs w:val="18"/>
        </w:rPr>
        <w:t>“</w:t>
      </w:r>
      <w:r w:rsidRPr="00C07743">
        <w:rPr>
          <w:sz w:val="18"/>
          <w:szCs w:val="18"/>
        </w:rPr>
        <w:t>There is no discretion to ignore lack of jurisdiction.</w:t>
      </w:r>
      <w:r w:rsidR="00F0630D">
        <w:rPr>
          <w:sz w:val="18"/>
          <w:szCs w:val="18"/>
        </w:rPr>
        <w:t>”</w:t>
      </w:r>
      <w:r w:rsidRPr="00C07743">
        <w:rPr>
          <w:sz w:val="18"/>
          <w:szCs w:val="18"/>
        </w:rPr>
        <w:t xml:space="preserve"> Joyce v. U.S. 474 2D 215.</w:t>
      </w:r>
    </w:p>
  </w:footnote>
  <w:footnote w:id="25">
    <w:p w:rsidR="003F67CD" w:rsidRPr="00C07743" w:rsidRDefault="003F67CD" w:rsidP="003F67CD">
      <w:pPr>
        <w:pStyle w:val="FootnoteText"/>
        <w:jc w:val="both"/>
        <w:rPr>
          <w:sz w:val="18"/>
          <w:szCs w:val="18"/>
        </w:rPr>
      </w:pPr>
      <w:r w:rsidRPr="00C07743">
        <w:rPr>
          <w:rStyle w:val="FootnoteReference"/>
          <w:sz w:val="18"/>
          <w:szCs w:val="18"/>
        </w:rPr>
        <w:footnoteRef/>
      </w:r>
      <w:r w:rsidRPr="00C07743">
        <w:rPr>
          <w:sz w:val="18"/>
          <w:szCs w:val="18"/>
        </w:rPr>
        <w:t xml:space="preserve"> Hagans v. Lavine, 415 U. S. 533.</w:t>
      </w:r>
    </w:p>
  </w:footnote>
  <w:footnote w:id="26">
    <w:p w:rsidR="003F67CD" w:rsidRPr="00C07743" w:rsidRDefault="003F67CD" w:rsidP="003F67CD">
      <w:pPr>
        <w:pStyle w:val="FootnoteText"/>
        <w:jc w:val="both"/>
        <w:rPr>
          <w:sz w:val="18"/>
          <w:szCs w:val="18"/>
        </w:rPr>
      </w:pPr>
      <w:r w:rsidRPr="00C07743">
        <w:rPr>
          <w:rStyle w:val="FootnoteReference"/>
          <w:sz w:val="18"/>
          <w:szCs w:val="18"/>
        </w:rPr>
        <w:footnoteRef/>
      </w:r>
      <w:r w:rsidRPr="00C07743">
        <w:rPr>
          <w:sz w:val="18"/>
          <w:szCs w:val="18"/>
        </w:rPr>
        <w:t xml:space="preserve"> OLD WAYNE MUT. L. ASSOC. v. McDONOUGH, 204 U. S. 8, 27 S. Ct. 236 (1907).</w:t>
      </w:r>
    </w:p>
  </w:footnote>
  <w:footnote w:id="27">
    <w:p w:rsidR="003F67CD" w:rsidRPr="00C07743" w:rsidRDefault="003F67CD" w:rsidP="003F67CD">
      <w:pPr>
        <w:pStyle w:val="FootnoteText"/>
        <w:jc w:val="both"/>
        <w:rPr>
          <w:sz w:val="18"/>
          <w:szCs w:val="18"/>
        </w:rPr>
      </w:pPr>
      <w:r w:rsidRPr="00C07743">
        <w:rPr>
          <w:rStyle w:val="FootnoteReference"/>
          <w:sz w:val="18"/>
          <w:szCs w:val="18"/>
        </w:rPr>
        <w:footnoteRef/>
      </w:r>
      <w:r w:rsidRPr="00C07743">
        <w:rPr>
          <w:sz w:val="18"/>
          <w:szCs w:val="18"/>
        </w:rPr>
        <w:t xml:space="preserve"> Rosemond v. Lambert, 469 F2d 416.</w:t>
      </w:r>
    </w:p>
  </w:footnote>
  <w:footnote w:id="28">
    <w:p w:rsidR="003F67CD" w:rsidRPr="00C07743" w:rsidRDefault="003F67CD" w:rsidP="003F67CD">
      <w:pPr>
        <w:spacing w:after="0" w:line="240" w:lineRule="auto"/>
        <w:jc w:val="both"/>
        <w:rPr>
          <w:sz w:val="18"/>
          <w:szCs w:val="18"/>
        </w:rPr>
      </w:pPr>
      <w:r w:rsidRPr="00C07743">
        <w:rPr>
          <w:rStyle w:val="FootnoteReference"/>
          <w:sz w:val="18"/>
          <w:szCs w:val="18"/>
        </w:rPr>
        <w:footnoteRef/>
      </w:r>
      <w:r w:rsidRPr="00C07743">
        <w:rPr>
          <w:sz w:val="18"/>
          <w:szCs w:val="18"/>
        </w:rPr>
        <w:t xml:space="preserve"> Latana v. Hopper, 102 F. 2d 188; Chicago v. New York, 37 F Supp. 150; Main v. Thiboutot, 100 S. Ct. 2502 (1980); </w:t>
      </w:r>
      <w:r w:rsidR="00F0630D">
        <w:rPr>
          <w:sz w:val="18"/>
          <w:szCs w:val="18"/>
        </w:rPr>
        <w:t>“</w:t>
      </w:r>
      <w:r w:rsidRPr="00C07743">
        <w:rPr>
          <w:i/>
          <w:sz w:val="18"/>
          <w:szCs w:val="18"/>
        </w:rPr>
        <w:t>A universal principle as old as the law is that a proceedings of a court without jurisdiction are a nullity and its judgment therein without effect either on person or property</w:t>
      </w:r>
      <w:r w:rsidRPr="00C07743">
        <w:rPr>
          <w:sz w:val="18"/>
          <w:szCs w:val="18"/>
        </w:rPr>
        <w:t>.</w:t>
      </w:r>
      <w:r w:rsidR="00F0630D">
        <w:rPr>
          <w:sz w:val="18"/>
          <w:szCs w:val="18"/>
        </w:rPr>
        <w:t xml:space="preserve">” </w:t>
      </w:r>
      <w:r w:rsidRPr="00C07743">
        <w:rPr>
          <w:sz w:val="18"/>
          <w:szCs w:val="18"/>
        </w:rPr>
        <w:t xml:space="preserve">Norwood v. Renfield, 34 C 329; Ex parte Giambonini, 49 P. 732; </w:t>
      </w:r>
      <w:r w:rsidR="00F0630D">
        <w:rPr>
          <w:sz w:val="18"/>
          <w:szCs w:val="18"/>
        </w:rPr>
        <w:t>“</w:t>
      </w:r>
      <w:r w:rsidRPr="00C07743">
        <w:rPr>
          <w:i/>
          <w:sz w:val="18"/>
          <w:szCs w:val="18"/>
        </w:rPr>
        <w:t>Jurisdiction is fundamental and a judgment rendered by a court that does not have jurisdiction to hear is void ab initio</w:t>
      </w:r>
      <w:r w:rsidRPr="00C07743">
        <w:rPr>
          <w:sz w:val="18"/>
          <w:szCs w:val="18"/>
        </w:rPr>
        <w:t>.</w:t>
      </w:r>
      <w:r w:rsidR="00F0630D">
        <w:rPr>
          <w:sz w:val="18"/>
          <w:szCs w:val="18"/>
        </w:rPr>
        <w:t>”</w:t>
      </w:r>
      <w:r w:rsidRPr="00C07743">
        <w:rPr>
          <w:sz w:val="18"/>
          <w:szCs w:val="18"/>
        </w:rPr>
        <w:t xml:space="preserve"> In Re Application of Wyatt, 300 P. 132; Re Cavitt, 118 P2d 846; </w:t>
      </w:r>
      <w:r w:rsidR="00F0630D">
        <w:rPr>
          <w:sz w:val="18"/>
          <w:szCs w:val="18"/>
        </w:rPr>
        <w:t>“</w:t>
      </w:r>
      <w:r w:rsidRPr="00C07743">
        <w:rPr>
          <w:i/>
          <w:sz w:val="18"/>
          <w:szCs w:val="18"/>
        </w:rPr>
        <w:t>A court has no jurisdiction to determine its own jurisdiction, for a basic issue in any case before a tribunal is its power to act, and a court must have the authority to decide that question in the first instance</w:t>
      </w:r>
      <w:r w:rsidRPr="00C07743">
        <w:rPr>
          <w:sz w:val="18"/>
          <w:szCs w:val="18"/>
        </w:rPr>
        <w:t>.</w:t>
      </w:r>
      <w:r w:rsidR="00F0630D">
        <w:rPr>
          <w:sz w:val="18"/>
          <w:szCs w:val="18"/>
        </w:rPr>
        <w:t>”</w:t>
      </w:r>
      <w:r w:rsidRPr="00C07743">
        <w:rPr>
          <w:sz w:val="18"/>
          <w:szCs w:val="18"/>
        </w:rPr>
        <w:t xml:space="preserve"> Rescue Army v. Municipal Court of Los Angeles, 171 P2d 8; 331 US 549, 91 L. ed. 1666, 67 S.Ct. 1409.</w:t>
      </w:r>
    </w:p>
  </w:footnote>
  <w:footnote w:id="29">
    <w:p w:rsidR="003F67CD" w:rsidRPr="00C07743" w:rsidRDefault="003F67CD" w:rsidP="003F67CD">
      <w:pPr>
        <w:pStyle w:val="FootnoteText"/>
        <w:jc w:val="both"/>
        <w:rPr>
          <w:sz w:val="18"/>
          <w:szCs w:val="18"/>
        </w:rPr>
      </w:pPr>
      <w:r w:rsidRPr="00C07743">
        <w:rPr>
          <w:rStyle w:val="FootnoteReference"/>
          <w:sz w:val="18"/>
          <w:szCs w:val="18"/>
        </w:rPr>
        <w:footnoteRef/>
      </w:r>
      <w:r w:rsidRPr="00C07743">
        <w:rPr>
          <w:sz w:val="18"/>
          <w:szCs w:val="18"/>
        </w:rPr>
        <w:t xml:space="preserve"> Merritt v. Hunter, C.A. Kansas 170 F2d 739.</w:t>
      </w:r>
    </w:p>
  </w:footnote>
  <w:footnote w:id="30">
    <w:p w:rsidR="009C162E" w:rsidRPr="00C07743" w:rsidRDefault="009C162E" w:rsidP="009C162E">
      <w:pPr>
        <w:pStyle w:val="FootnoteText"/>
        <w:jc w:val="both"/>
        <w:rPr>
          <w:sz w:val="18"/>
          <w:szCs w:val="18"/>
        </w:rPr>
      </w:pPr>
      <w:r w:rsidRPr="00C07743">
        <w:rPr>
          <w:rStyle w:val="FootnoteReference"/>
          <w:b/>
          <w:sz w:val="18"/>
          <w:szCs w:val="18"/>
        </w:rPr>
        <w:footnoteRef/>
      </w:r>
      <w:r w:rsidRPr="00C07743">
        <w:rPr>
          <w:b/>
          <w:sz w:val="18"/>
          <w:szCs w:val="18"/>
        </w:rPr>
        <w:t xml:space="preserve"> Summary proceeding:</w:t>
      </w:r>
      <w:r w:rsidRPr="00C07743">
        <w:rPr>
          <w:sz w:val="18"/>
          <w:szCs w:val="18"/>
        </w:rPr>
        <w:t xml:space="preserve"> Any proceeding by which a controversy is settled, case disposed of, or trial conducted, in a prompt and simple manner, without the aid of a jury, without presentment or indictment, or in other respects out of the regular course of the common law. Sweet see Phillips v. Phillips, 8 N.J.L. 122.</w:t>
      </w:r>
    </w:p>
  </w:footnote>
  <w:footnote w:id="31">
    <w:p w:rsidR="009C162E" w:rsidRPr="00C07743" w:rsidRDefault="009C162E" w:rsidP="009C162E">
      <w:pPr>
        <w:pStyle w:val="FootnoteText"/>
        <w:jc w:val="both"/>
        <w:rPr>
          <w:i/>
          <w:sz w:val="18"/>
          <w:szCs w:val="18"/>
        </w:rPr>
      </w:pPr>
      <w:r w:rsidRPr="00C07743">
        <w:rPr>
          <w:rStyle w:val="FootnoteReference"/>
          <w:sz w:val="18"/>
          <w:szCs w:val="18"/>
        </w:rPr>
        <w:footnoteRef/>
      </w:r>
      <w:r w:rsidRPr="00C07743">
        <w:rPr>
          <w:sz w:val="18"/>
          <w:szCs w:val="18"/>
        </w:rPr>
        <w:t xml:space="preserve"> </w:t>
      </w:r>
      <w:r w:rsidRPr="00C07743">
        <w:rPr>
          <w:rFonts w:asciiTheme="minorHAnsi" w:hAnsiTheme="minorHAnsi" w:cstheme="minorHAnsi"/>
          <w:sz w:val="18"/>
          <w:szCs w:val="18"/>
          <w:u w:val="single"/>
        </w:rPr>
        <w:t>Amendment VII</w:t>
      </w:r>
      <w:r w:rsidRPr="00C07743">
        <w:rPr>
          <w:rFonts w:asciiTheme="minorHAnsi" w:hAnsiTheme="minorHAnsi" w:cstheme="minorHAnsi"/>
          <w:i/>
          <w:sz w:val="18"/>
          <w:szCs w:val="18"/>
        </w:rPr>
        <w:t xml:space="preserve"> In suits at common law, where the value in controversy shall exceed twenty dollars, the right of trial by jury shall be preserved, and no fact tried by a jury, shall be otherwise reexamined in any Court of the United States, than according to the rules of the common law.</w:t>
      </w:r>
    </w:p>
  </w:footnote>
  <w:footnote w:id="32">
    <w:p w:rsidR="00191897" w:rsidRPr="00C07743" w:rsidRDefault="00191897" w:rsidP="001C3F9B">
      <w:pPr>
        <w:pStyle w:val="FootnoteText"/>
        <w:jc w:val="both"/>
        <w:rPr>
          <w:sz w:val="18"/>
          <w:szCs w:val="18"/>
        </w:rPr>
      </w:pPr>
      <w:r w:rsidRPr="00C07743">
        <w:rPr>
          <w:rStyle w:val="FootnoteReference"/>
          <w:sz w:val="18"/>
          <w:szCs w:val="18"/>
        </w:rPr>
        <w:footnoteRef/>
      </w:r>
      <w:r w:rsidRPr="00C07743">
        <w:rPr>
          <w:sz w:val="18"/>
          <w:szCs w:val="18"/>
        </w:rPr>
        <w:t xml:space="preserve"> </w:t>
      </w:r>
      <w:r w:rsidRPr="00C07743">
        <w:rPr>
          <w:rFonts w:cs="Times New Roman"/>
          <w:sz w:val="18"/>
          <w:szCs w:val="18"/>
        </w:rPr>
        <w:t>Stuck v. Medical Examiners, 94 Ca2d 751.211 P2s 389.; Maine v. Thiboutot, 100 S. Ct. 250.; McNutt v. G.M., 56 S. Ct. 789,80 L. Ed. 1135.; Griffin v. Mathews, 310 Supp. 341, 423 F. 2d 272.; Basso v. U.P.L., 495 F 2d. 906.; Thomson v. Gaskiel, 62 S. Ct. 673, 83 L. Ed. 111.; and Albrecht v U.S., 273 U.S. 1,</w:t>
      </w:r>
    </w:p>
  </w:footnote>
  <w:footnote w:id="33">
    <w:p w:rsidR="00191897" w:rsidRPr="00C07743" w:rsidRDefault="00191897" w:rsidP="001C3F9B">
      <w:pPr>
        <w:pStyle w:val="FootnoteText"/>
        <w:jc w:val="both"/>
        <w:rPr>
          <w:sz w:val="18"/>
          <w:szCs w:val="18"/>
        </w:rPr>
      </w:pPr>
      <w:r w:rsidRPr="00C07743">
        <w:rPr>
          <w:rStyle w:val="FootnoteReference"/>
          <w:sz w:val="18"/>
          <w:szCs w:val="18"/>
        </w:rPr>
        <w:footnoteRef/>
      </w:r>
      <w:r w:rsidRPr="00C07743">
        <w:rPr>
          <w:sz w:val="18"/>
          <w:szCs w:val="18"/>
        </w:rPr>
        <w:t xml:space="preserve"> </w:t>
      </w:r>
      <w:r w:rsidRPr="00C07743">
        <w:rPr>
          <w:rFonts w:cs="Times New Roman"/>
          <w:sz w:val="18"/>
          <w:szCs w:val="18"/>
        </w:rPr>
        <w:t>Rhode Island v. Massachussetts, 37 U.S. 657, 718, 9L.Ed. 1233 (1838).</w:t>
      </w:r>
    </w:p>
  </w:footnote>
  <w:footnote w:id="34">
    <w:p w:rsidR="00191897" w:rsidRPr="00C07743" w:rsidRDefault="00191897" w:rsidP="001C3F9B">
      <w:pPr>
        <w:pStyle w:val="FootnoteText"/>
        <w:jc w:val="both"/>
        <w:rPr>
          <w:sz w:val="18"/>
          <w:szCs w:val="18"/>
        </w:rPr>
      </w:pPr>
      <w:r w:rsidRPr="00C07743">
        <w:rPr>
          <w:rStyle w:val="FootnoteReference"/>
          <w:sz w:val="18"/>
          <w:szCs w:val="18"/>
        </w:rPr>
        <w:footnoteRef/>
      </w:r>
      <w:r w:rsidRPr="00C07743">
        <w:rPr>
          <w:sz w:val="18"/>
          <w:szCs w:val="18"/>
        </w:rPr>
        <w:t xml:space="preserve"> </w:t>
      </w:r>
      <w:r w:rsidRPr="00C07743">
        <w:rPr>
          <w:rFonts w:cs="Times New Roman"/>
          <w:sz w:val="18"/>
          <w:szCs w:val="18"/>
        </w:rPr>
        <w:t>Louisville R.R. v. Motley, 211 U.S. 149, 29 S. Ct. 42</w:t>
      </w:r>
    </w:p>
  </w:footnote>
  <w:footnote w:id="35">
    <w:p w:rsidR="00191897" w:rsidRPr="00C07743" w:rsidRDefault="00191897" w:rsidP="001C3F9B">
      <w:pPr>
        <w:pStyle w:val="FootnoteText"/>
        <w:jc w:val="both"/>
        <w:rPr>
          <w:sz w:val="18"/>
          <w:szCs w:val="18"/>
        </w:rPr>
      </w:pPr>
      <w:r w:rsidRPr="00C07743">
        <w:rPr>
          <w:rStyle w:val="FootnoteReference"/>
          <w:b/>
          <w:sz w:val="18"/>
          <w:szCs w:val="18"/>
        </w:rPr>
        <w:footnoteRef/>
      </w:r>
      <w:r w:rsidRPr="00C07743">
        <w:rPr>
          <w:b/>
          <w:sz w:val="18"/>
          <w:szCs w:val="18"/>
        </w:rPr>
        <w:t xml:space="preserve"> US Constitution Article VI Clause 2:</w:t>
      </w:r>
      <w:r w:rsidRPr="00C07743">
        <w:rPr>
          <w:sz w:val="18"/>
          <w:szCs w:val="18"/>
        </w:rPr>
        <w:t xml:space="preserve"> 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w:t>
      </w:r>
    </w:p>
  </w:footnote>
  <w:footnote w:id="36">
    <w:p w:rsidR="00191897" w:rsidRPr="00C07743" w:rsidRDefault="00191897" w:rsidP="001C3F9B">
      <w:pPr>
        <w:pStyle w:val="FootnoteText"/>
        <w:jc w:val="both"/>
        <w:rPr>
          <w:sz w:val="18"/>
          <w:szCs w:val="18"/>
        </w:rPr>
      </w:pPr>
      <w:r w:rsidRPr="00C07743">
        <w:rPr>
          <w:rStyle w:val="FootnoteReference"/>
          <w:b/>
          <w:sz w:val="18"/>
          <w:szCs w:val="18"/>
        </w:rPr>
        <w:footnoteRef/>
      </w:r>
      <w:r w:rsidRPr="00C07743">
        <w:rPr>
          <w:b/>
          <w:sz w:val="18"/>
          <w:szCs w:val="18"/>
        </w:rPr>
        <w:t xml:space="preserve"> US </w:t>
      </w:r>
      <w:r w:rsidR="00C319FC">
        <w:rPr>
          <w:b/>
          <w:sz w:val="18"/>
          <w:szCs w:val="18"/>
        </w:rPr>
        <w:t>Constitution Article VI Clause 3</w:t>
      </w:r>
      <w:r w:rsidRPr="00C07743">
        <w:rPr>
          <w:b/>
          <w:sz w:val="18"/>
          <w:szCs w:val="18"/>
        </w:rPr>
        <w:t>:</w:t>
      </w:r>
      <w:r w:rsidRPr="00C07743">
        <w:rPr>
          <w:sz w:val="18"/>
          <w:szCs w:val="18"/>
        </w:rPr>
        <w:t xml:space="preserve"> The Senators and Representatives before mentioned, and the members of the several state legislatures, and all executive and judicial officers, both of the United States and of the several states, shall be bound by oath or affirmation, to support this Constitution; but no religious test shall ever be required as a qualification to any office or public trust under the United States.</w:t>
      </w:r>
    </w:p>
  </w:footnote>
  <w:footnote w:id="37">
    <w:p w:rsidR="00C53E56" w:rsidRPr="00C07743" w:rsidRDefault="00C53E56" w:rsidP="00C53E56">
      <w:pPr>
        <w:pStyle w:val="FootnoteText"/>
        <w:jc w:val="both"/>
        <w:rPr>
          <w:sz w:val="18"/>
          <w:szCs w:val="18"/>
        </w:rPr>
      </w:pPr>
      <w:r w:rsidRPr="00C07743">
        <w:rPr>
          <w:rStyle w:val="FootnoteReference"/>
          <w:b/>
          <w:sz w:val="18"/>
          <w:szCs w:val="18"/>
        </w:rPr>
        <w:footnoteRef/>
      </w:r>
      <w:r w:rsidRPr="00C07743">
        <w:rPr>
          <w:b/>
          <w:sz w:val="18"/>
          <w:szCs w:val="18"/>
        </w:rPr>
        <w:t xml:space="preserve"> Fraud upon the court:</w:t>
      </w:r>
      <w:r w:rsidRPr="00C07743">
        <w:rPr>
          <w:sz w:val="18"/>
          <w:szCs w:val="18"/>
        </w:rPr>
        <w:t xml:space="preserve"> In Bulloch v. United States, 763 F.2d 1115, 1121 (10th Cir. 1985), the court stated </w:t>
      </w:r>
      <w:r>
        <w:rPr>
          <w:sz w:val="18"/>
          <w:szCs w:val="18"/>
        </w:rPr>
        <w:t>“</w:t>
      </w:r>
      <w:r w:rsidRPr="00C07743">
        <w:rPr>
          <w:i/>
          <w:sz w:val="18"/>
          <w:szCs w:val="18"/>
        </w:rPr>
        <w:t>Fraud upon the court is fraud which is directed to the judicial machinery itself and is not fraud between the parties or fraudulent documents, false statements or perjury</w:t>
      </w:r>
      <w:r w:rsidRPr="00C07743">
        <w:rPr>
          <w:sz w:val="18"/>
          <w:szCs w:val="18"/>
        </w:rPr>
        <w:t xml:space="preserve">. ... </w:t>
      </w:r>
      <w:r w:rsidRPr="00C07743">
        <w:rPr>
          <w:i/>
          <w:sz w:val="18"/>
          <w:szCs w:val="18"/>
        </w:rPr>
        <w:t>It is where the court or a member is corrupted or influenced or influence is attempted or where the judge has not performed his judicial function --- thus where the impartial functions of the court have been directly corrupted</w:t>
      </w:r>
      <w:r w:rsidRPr="00C07743">
        <w:rPr>
          <w:sz w:val="18"/>
          <w:szCs w:val="18"/>
        </w:rPr>
        <w:t>.</w:t>
      </w:r>
      <w:r>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03C8D"/>
    <w:multiLevelType w:val="hybridMultilevel"/>
    <w:tmpl w:val="75B4EF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4933B2"/>
    <w:multiLevelType w:val="hybridMultilevel"/>
    <w:tmpl w:val="93ACB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B57BA4"/>
    <w:multiLevelType w:val="hybridMultilevel"/>
    <w:tmpl w:val="7576C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4E3"/>
    <w:rsid w:val="00007522"/>
    <w:rsid w:val="00015F6A"/>
    <w:rsid w:val="0002184B"/>
    <w:rsid w:val="00081974"/>
    <w:rsid w:val="00091F6B"/>
    <w:rsid w:val="000A2B9F"/>
    <w:rsid w:val="000D4821"/>
    <w:rsid w:val="000D663C"/>
    <w:rsid w:val="000E289C"/>
    <w:rsid w:val="000F22B2"/>
    <w:rsid w:val="00104665"/>
    <w:rsid w:val="0010743C"/>
    <w:rsid w:val="00116D25"/>
    <w:rsid w:val="001204F5"/>
    <w:rsid w:val="00152D2E"/>
    <w:rsid w:val="001539A3"/>
    <w:rsid w:val="001734E5"/>
    <w:rsid w:val="00174AB2"/>
    <w:rsid w:val="00191897"/>
    <w:rsid w:val="001A1E1D"/>
    <w:rsid w:val="001B1DEF"/>
    <w:rsid w:val="001C2D59"/>
    <w:rsid w:val="001C3F9B"/>
    <w:rsid w:val="001E2B84"/>
    <w:rsid w:val="001E3551"/>
    <w:rsid w:val="001F070D"/>
    <w:rsid w:val="00203FD6"/>
    <w:rsid w:val="00210D76"/>
    <w:rsid w:val="00211C8A"/>
    <w:rsid w:val="002136ED"/>
    <w:rsid w:val="00216E56"/>
    <w:rsid w:val="0022707C"/>
    <w:rsid w:val="00227ABE"/>
    <w:rsid w:val="00231BBA"/>
    <w:rsid w:val="00240C1E"/>
    <w:rsid w:val="00265964"/>
    <w:rsid w:val="002856BA"/>
    <w:rsid w:val="002C652B"/>
    <w:rsid w:val="002D7676"/>
    <w:rsid w:val="002E5915"/>
    <w:rsid w:val="002F1369"/>
    <w:rsid w:val="002F5724"/>
    <w:rsid w:val="00302B30"/>
    <w:rsid w:val="00303185"/>
    <w:rsid w:val="0034561D"/>
    <w:rsid w:val="003712A3"/>
    <w:rsid w:val="00385980"/>
    <w:rsid w:val="003B2E03"/>
    <w:rsid w:val="003B2EC8"/>
    <w:rsid w:val="003D28F3"/>
    <w:rsid w:val="003F1F6C"/>
    <w:rsid w:val="003F67CD"/>
    <w:rsid w:val="003F76E1"/>
    <w:rsid w:val="00422CB8"/>
    <w:rsid w:val="00424264"/>
    <w:rsid w:val="004278A9"/>
    <w:rsid w:val="00443A35"/>
    <w:rsid w:val="004441EE"/>
    <w:rsid w:val="0045043E"/>
    <w:rsid w:val="0048784A"/>
    <w:rsid w:val="0049386D"/>
    <w:rsid w:val="004B0764"/>
    <w:rsid w:val="004B69CE"/>
    <w:rsid w:val="00506944"/>
    <w:rsid w:val="0052275E"/>
    <w:rsid w:val="00535649"/>
    <w:rsid w:val="005627BC"/>
    <w:rsid w:val="00563B41"/>
    <w:rsid w:val="00587F84"/>
    <w:rsid w:val="00592093"/>
    <w:rsid w:val="00595BE3"/>
    <w:rsid w:val="005B1A8F"/>
    <w:rsid w:val="005B3774"/>
    <w:rsid w:val="005F3B6D"/>
    <w:rsid w:val="005F6DDA"/>
    <w:rsid w:val="0060533D"/>
    <w:rsid w:val="006333AE"/>
    <w:rsid w:val="00656F1A"/>
    <w:rsid w:val="00677B6B"/>
    <w:rsid w:val="0068763C"/>
    <w:rsid w:val="00696D5D"/>
    <w:rsid w:val="006A2999"/>
    <w:rsid w:val="006B33B6"/>
    <w:rsid w:val="006C0A15"/>
    <w:rsid w:val="006D48B3"/>
    <w:rsid w:val="006F26A5"/>
    <w:rsid w:val="007010D8"/>
    <w:rsid w:val="00714A03"/>
    <w:rsid w:val="00716A65"/>
    <w:rsid w:val="0071712E"/>
    <w:rsid w:val="007210FC"/>
    <w:rsid w:val="0074529C"/>
    <w:rsid w:val="00752D8C"/>
    <w:rsid w:val="007600F4"/>
    <w:rsid w:val="00760E9E"/>
    <w:rsid w:val="00783DC0"/>
    <w:rsid w:val="007A6BF6"/>
    <w:rsid w:val="007A7446"/>
    <w:rsid w:val="007B2F1B"/>
    <w:rsid w:val="007B3C0B"/>
    <w:rsid w:val="007C65E3"/>
    <w:rsid w:val="007D38EE"/>
    <w:rsid w:val="007E36D7"/>
    <w:rsid w:val="007F0052"/>
    <w:rsid w:val="007F1D5E"/>
    <w:rsid w:val="007F40BE"/>
    <w:rsid w:val="00813901"/>
    <w:rsid w:val="008201C7"/>
    <w:rsid w:val="00843555"/>
    <w:rsid w:val="008448DB"/>
    <w:rsid w:val="00893698"/>
    <w:rsid w:val="008A0DC3"/>
    <w:rsid w:val="008A2280"/>
    <w:rsid w:val="008A5B74"/>
    <w:rsid w:val="008D6D60"/>
    <w:rsid w:val="008E235D"/>
    <w:rsid w:val="008E33F4"/>
    <w:rsid w:val="008E4192"/>
    <w:rsid w:val="008F5589"/>
    <w:rsid w:val="008F79ED"/>
    <w:rsid w:val="009008CC"/>
    <w:rsid w:val="00904EE3"/>
    <w:rsid w:val="009058B1"/>
    <w:rsid w:val="00910E0D"/>
    <w:rsid w:val="009403A4"/>
    <w:rsid w:val="00942A31"/>
    <w:rsid w:val="00946E81"/>
    <w:rsid w:val="0095007B"/>
    <w:rsid w:val="00953809"/>
    <w:rsid w:val="00965CFF"/>
    <w:rsid w:val="0097234C"/>
    <w:rsid w:val="00986999"/>
    <w:rsid w:val="009C162E"/>
    <w:rsid w:val="009C5287"/>
    <w:rsid w:val="009E6B77"/>
    <w:rsid w:val="009F38F4"/>
    <w:rsid w:val="00A05B28"/>
    <w:rsid w:val="00A06D8F"/>
    <w:rsid w:val="00A23592"/>
    <w:rsid w:val="00A251CB"/>
    <w:rsid w:val="00A25DC5"/>
    <w:rsid w:val="00A3105A"/>
    <w:rsid w:val="00A43B1A"/>
    <w:rsid w:val="00A95E2B"/>
    <w:rsid w:val="00AA2584"/>
    <w:rsid w:val="00AE11B4"/>
    <w:rsid w:val="00AF64F3"/>
    <w:rsid w:val="00B03122"/>
    <w:rsid w:val="00B16058"/>
    <w:rsid w:val="00B216B9"/>
    <w:rsid w:val="00B26687"/>
    <w:rsid w:val="00B27132"/>
    <w:rsid w:val="00B33951"/>
    <w:rsid w:val="00B36B76"/>
    <w:rsid w:val="00B478CE"/>
    <w:rsid w:val="00B53E56"/>
    <w:rsid w:val="00B60509"/>
    <w:rsid w:val="00B643E5"/>
    <w:rsid w:val="00B836AA"/>
    <w:rsid w:val="00B851E2"/>
    <w:rsid w:val="00B86D0C"/>
    <w:rsid w:val="00B878AA"/>
    <w:rsid w:val="00B90D39"/>
    <w:rsid w:val="00BA5B93"/>
    <w:rsid w:val="00BB4EB9"/>
    <w:rsid w:val="00BB51D4"/>
    <w:rsid w:val="00BD3B11"/>
    <w:rsid w:val="00C01EAE"/>
    <w:rsid w:val="00C07743"/>
    <w:rsid w:val="00C249E6"/>
    <w:rsid w:val="00C252DC"/>
    <w:rsid w:val="00C319FC"/>
    <w:rsid w:val="00C51B51"/>
    <w:rsid w:val="00C53E56"/>
    <w:rsid w:val="00C63EF2"/>
    <w:rsid w:val="00C671E9"/>
    <w:rsid w:val="00C73C32"/>
    <w:rsid w:val="00CA3682"/>
    <w:rsid w:val="00CC4A41"/>
    <w:rsid w:val="00D05920"/>
    <w:rsid w:val="00D15E9F"/>
    <w:rsid w:val="00D24DD5"/>
    <w:rsid w:val="00D2587E"/>
    <w:rsid w:val="00D32D2E"/>
    <w:rsid w:val="00D434E3"/>
    <w:rsid w:val="00D47C86"/>
    <w:rsid w:val="00D54D31"/>
    <w:rsid w:val="00D7405A"/>
    <w:rsid w:val="00D75E45"/>
    <w:rsid w:val="00D76C2D"/>
    <w:rsid w:val="00D82C9D"/>
    <w:rsid w:val="00DA070F"/>
    <w:rsid w:val="00DA1D00"/>
    <w:rsid w:val="00DB397A"/>
    <w:rsid w:val="00DB5BE2"/>
    <w:rsid w:val="00DD04DE"/>
    <w:rsid w:val="00DE2882"/>
    <w:rsid w:val="00DE3278"/>
    <w:rsid w:val="00E03E00"/>
    <w:rsid w:val="00E06FC2"/>
    <w:rsid w:val="00E20E78"/>
    <w:rsid w:val="00E30D25"/>
    <w:rsid w:val="00E55847"/>
    <w:rsid w:val="00E6313B"/>
    <w:rsid w:val="00E63251"/>
    <w:rsid w:val="00E70CE1"/>
    <w:rsid w:val="00EA21B5"/>
    <w:rsid w:val="00EB7477"/>
    <w:rsid w:val="00EE3D7E"/>
    <w:rsid w:val="00EE4F57"/>
    <w:rsid w:val="00F028F7"/>
    <w:rsid w:val="00F0630D"/>
    <w:rsid w:val="00F42EAE"/>
    <w:rsid w:val="00F61DBD"/>
    <w:rsid w:val="00F71E56"/>
    <w:rsid w:val="00F87F68"/>
    <w:rsid w:val="00FC67CB"/>
    <w:rsid w:val="00FE41D3"/>
    <w:rsid w:val="00FF0444"/>
    <w:rsid w:val="00FF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55C12F-AC94-475A-8310-4E9488D7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FF0444"/>
    <w:pPr>
      <w:spacing w:after="0" w:line="240" w:lineRule="auto"/>
    </w:pPr>
    <w:rPr>
      <w:sz w:val="20"/>
    </w:rPr>
  </w:style>
  <w:style w:type="character" w:customStyle="1" w:styleId="FootnoteTextChar">
    <w:name w:val="Footnote Text Char"/>
    <w:basedOn w:val="DefaultParagraphFont"/>
    <w:link w:val="FootnoteText"/>
    <w:uiPriority w:val="99"/>
    <w:rsid w:val="00FF0444"/>
    <w:rPr>
      <w:sz w:val="20"/>
    </w:rPr>
  </w:style>
  <w:style w:type="character" w:styleId="FootnoteReference">
    <w:name w:val="footnote reference"/>
    <w:basedOn w:val="DefaultParagraphFont"/>
    <w:uiPriority w:val="99"/>
    <w:unhideWhenUsed/>
    <w:rsid w:val="00FF0444"/>
    <w:rPr>
      <w:vertAlign w:val="superscript"/>
    </w:rPr>
  </w:style>
  <w:style w:type="table" w:styleId="TableGrid">
    <w:name w:val="Table Grid"/>
    <w:basedOn w:val="TableNormal"/>
    <w:uiPriority w:val="59"/>
    <w:rsid w:val="00D43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6BA"/>
    <w:pPr>
      <w:ind w:left="720"/>
      <w:contextualSpacing/>
    </w:pPr>
  </w:style>
  <w:style w:type="character" w:styleId="Hyperlink">
    <w:name w:val="Hyperlink"/>
    <w:basedOn w:val="DefaultParagraphFont"/>
    <w:uiPriority w:val="99"/>
    <w:unhideWhenUsed/>
    <w:rsid w:val="00D05920"/>
    <w:rPr>
      <w:color w:val="0000FF" w:themeColor="hyperlink"/>
      <w:u w:val="single"/>
    </w:rPr>
  </w:style>
  <w:style w:type="paragraph" w:styleId="Header">
    <w:name w:val="header"/>
    <w:basedOn w:val="Normal"/>
    <w:link w:val="HeaderChar"/>
    <w:uiPriority w:val="99"/>
    <w:unhideWhenUsed/>
    <w:rsid w:val="00265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964"/>
  </w:style>
  <w:style w:type="paragraph" w:styleId="Footer">
    <w:name w:val="footer"/>
    <w:basedOn w:val="Normal"/>
    <w:link w:val="FooterChar"/>
    <w:uiPriority w:val="99"/>
    <w:unhideWhenUsed/>
    <w:rsid w:val="00265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964"/>
  </w:style>
  <w:style w:type="character" w:styleId="LineNumber">
    <w:name w:val="line number"/>
    <w:basedOn w:val="DefaultParagraphFont"/>
    <w:uiPriority w:val="99"/>
    <w:semiHidden/>
    <w:unhideWhenUsed/>
    <w:rsid w:val="00265964"/>
  </w:style>
  <w:style w:type="paragraph" w:styleId="BalloonText">
    <w:name w:val="Balloon Text"/>
    <w:basedOn w:val="Normal"/>
    <w:link w:val="BalloonTextChar"/>
    <w:uiPriority w:val="99"/>
    <w:semiHidden/>
    <w:unhideWhenUsed/>
    <w:rsid w:val="0050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944"/>
    <w:rPr>
      <w:rFonts w:ascii="Tahoma" w:hAnsi="Tahoma" w:cs="Tahoma"/>
      <w:sz w:val="16"/>
      <w:szCs w:val="16"/>
    </w:rPr>
  </w:style>
  <w:style w:type="paragraph" w:styleId="NormalWeb">
    <w:name w:val="Normal (Web)"/>
    <w:basedOn w:val="Normal"/>
    <w:unhideWhenUsed/>
    <w:rsid w:val="003B2E0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205670">
      <w:bodyDiv w:val="1"/>
      <w:marLeft w:val="0"/>
      <w:marRight w:val="0"/>
      <w:marTop w:val="0"/>
      <w:marBottom w:val="0"/>
      <w:divBdr>
        <w:top w:val="none" w:sz="0" w:space="0" w:color="auto"/>
        <w:left w:val="none" w:sz="0" w:space="0" w:color="auto"/>
        <w:bottom w:val="none" w:sz="0" w:space="0" w:color="auto"/>
        <w:right w:val="none" w:sz="0" w:space="0" w:color="auto"/>
      </w:divBdr>
      <w:divsChild>
        <w:div w:id="17284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84793-3077-4FFB-A961-7E31B47E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Jan Holland</cp:lastModifiedBy>
  <cp:revision>21</cp:revision>
  <cp:lastPrinted>2019-06-17T13:28:00Z</cp:lastPrinted>
  <dcterms:created xsi:type="dcterms:W3CDTF">2019-06-09T22:21:00Z</dcterms:created>
  <dcterms:modified xsi:type="dcterms:W3CDTF">2019-07-11T19:39:00Z</dcterms:modified>
</cp:coreProperties>
</file>